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C9A0B" w14:textId="68A92500" w:rsidR="00963A43" w:rsidRPr="005E1B6F" w:rsidRDefault="00963A43" w:rsidP="00B00353">
      <w:pPr>
        <w:jc w:val="center"/>
        <w:rPr>
          <w:b/>
          <w:bCs/>
          <w:sz w:val="40"/>
          <w:szCs w:val="40"/>
        </w:rPr>
      </w:pPr>
      <w:r w:rsidRPr="005E1B6F">
        <w:rPr>
          <w:b/>
          <w:bCs/>
          <w:sz w:val="40"/>
          <w:szCs w:val="40"/>
        </w:rPr>
        <w:t>Risk Assessment for Annex IV Species</w:t>
      </w:r>
    </w:p>
    <w:p w14:paraId="6453FBD6" w14:textId="77777777" w:rsidR="00B00353" w:rsidRDefault="00B00353" w:rsidP="00B00353">
      <w:pPr>
        <w:jc w:val="center"/>
        <w:rPr>
          <w:b/>
          <w:bCs/>
          <w:sz w:val="28"/>
          <w:szCs w:val="24"/>
        </w:rPr>
      </w:pPr>
    </w:p>
    <w:p w14:paraId="597A3F5D" w14:textId="77777777" w:rsidR="00B00353" w:rsidRPr="00BB21C9" w:rsidRDefault="00B00353" w:rsidP="00B00353">
      <w:pPr>
        <w:pStyle w:val="BrdtextA"/>
        <w:spacing w:line="276" w:lineRule="auto"/>
        <w:jc w:val="center"/>
        <w:rPr>
          <w:sz w:val="28"/>
          <w:szCs w:val="28"/>
        </w:rPr>
      </w:pPr>
      <w:r w:rsidRPr="00BB21C9">
        <w:rPr>
          <w:b/>
          <w:bCs/>
          <w:sz w:val="28"/>
          <w:szCs w:val="28"/>
        </w:rPr>
        <w:t>CABLES – C</w:t>
      </w:r>
      <w:r w:rsidRPr="00BB21C9">
        <w:rPr>
          <w:sz w:val="28"/>
          <w:szCs w:val="28"/>
        </w:rPr>
        <w:t>apturing e</w:t>
      </w:r>
      <w:r w:rsidRPr="00BB21C9">
        <w:rPr>
          <w:b/>
          <w:bCs/>
          <w:sz w:val="28"/>
          <w:szCs w:val="28"/>
        </w:rPr>
        <w:t>lA</w:t>
      </w:r>
      <w:r w:rsidRPr="00BB21C9">
        <w:rPr>
          <w:sz w:val="28"/>
          <w:szCs w:val="28"/>
        </w:rPr>
        <w:t xml:space="preserve">smobranch </w:t>
      </w:r>
      <w:r w:rsidRPr="00BB21C9">
        <w:rPr>
          <w:b/>
          <w:bCs/>
          <w:sz w:val="28"/>
          <w:szCs w:val="28"/>
        </w:rPr>
        <w:t>B</w:t>
      </w:r>
      <w:r w:rsidRPr="00BB21C9">
        <w:rPr>
          <w:sz w:val="28"/>
          <w:szCs w:val="28"/>
        </w:rPr>
        <w:t>ehaviour in e</w:t>
      </w:r>
      <w:r w:rsidRPr="00BB21C9">
        <w:rPr>
          <w:b/>
          <w:bCs/>
          <w:sz w:val="28"/>
          <w:szCs w:val="28"/>
        </w:rPr>
        <w:t>LE</w:t>
      </w:r>
      <w:r w:rsidRPr="00BB21C9">
        <w:rPr>
          <w:sz w:val="28"/>
          <w:szCs w:val="28"/>
        </w:rPr>
        <w:t>ctromagnetic field</w:t>
      </w:r>
      <w:r w:rsidRPr="00BB21C9">
        <w:rPr>
          <w:b/>
          <w:bCs/>
          <w:sz w:val="28"/>
          <w:szCs w:val="28"/>
        </w:rPr>
        <w:t>S</w:t>
      </w:r>
    </w:p>
    <w:p w14:paraId="41DDB803" w14:textId="77777777" w:rsidR="00B00353" w:rsidRDefault="00B00353" w:rsidP="00B00353">
      <w:pPr>
        <w:pStyle w:val="BrdtextA"/>
        <w:spacing w:line="276" w:lineRule="auto"/>
        <w:jc w:val="center"/>
        <w:rPr>
          <w:sz w:val="28"/>
          <w:szCs w:val="28"/>
        </w:rPr>
      </w:pPr>
      <w:r w:rsidRPr="00BB21C9">
        <w:rPr>
          <w:sz w:val="28"/>
          <w:szCs w:val="28"/>
        </w:rPr>
        <w:t>Sustainability Institute, University College Cork</w:t>
      </w:r>
    </w:p>
    <w:p w14:paraId="2AAB5DB2" w14:textId="77777777" w:rsidR="00CB65E5" w:rsidRPr="00BB21C9" w:rsidRDefault="00CB65E5" w:rsidP="00CB65E5">
      <w:pPr>
        <w:pStyle w:val="BrdtextA"/>
        <w:spacing w:line="276" w:lineRule="auto"/>
        <w:jc w:val="center"/>
        <w:rPr>
          <w:sz w:val="28"/>
          <w:szCs w:val="28"/>
        </w:rPr>
      </w:pPr>
      <w:r>
        <w:rPr>
          <w:sz w:val="28"/>
          <w:szCs w:val="28"/>
        </w:rPr>
        <w:t>January 2026</w:t>
      </w:r>
    </w:p>
    <w:p w14:paraId="35DF7AE4" w14:textId="77777777" w:rsidR="00B00353" w:rsidRDefault="00B00353" w:rsidP="00B00353">
      <w:pPr>
        <w:jc w:val="center"/>
        <w:rPr>
          <w:b/>
          <w:bCs/>
          <w:sz w:val="28"/>
          <w:szCs w:val="24"/>
        </w:rPr>
      </w:pPr>
    </w:p>
    <w:p w14:paraId="1F7635B7" w14:textId="77777777" w:rsidR="00CE0A2C" w:rsidRDefault="00CE0A2C" w:rsidP="00963A43">
      <w:pPr>
        <w:rPr>
          <w:b/>
          <w:bCs/>
          <w:sz w:val="28"/>
          <w:szCs w:val="24"/>
        </w:rPr>
      </w:pPr>
    </w:p>
    <w:sdt>
      <w:sdtPr>
        <w:rPr>
          <w:rFonts w:ascii="Times New Roman" w:eastAsiaTheme="minorHAnsi" w:hAnsi="Times New Roman" w:cstheme="minorBidi"/>
          <w:color w:val="auto"/>
          <w:kern w:val="2"/>
          <w:sz w:val="24"/>
          <w:szCs w:val="22"/>
          <w:lang w:val="en-IE"/>
          <w14:ligatures w14:val="standardContextual"/>
        </w:rPr>
        <w:id w:val="1187896198"/>
        <w:docPartObj>
          <w:docPartGallery w:val="Table of Contents"/>
          <w:docPartUnique/>
        </w:docPartObj>
      </w:sdtPr>
      <w:sdtContent>
        <w:p w14:paraId="4781094C" w14:textId="7FB29ABF" w:rsidR="00CE0A2C" w:rsidRDefault="00CE0A2C">
          <w:pPr>
            <w:pStyle w:val="TOCHeading"/>
          </w:pPr>
          <w:r>
            <w:t>Contents</w:t>
          </w:r>
        </w:p>
        <w:p w14:paraId="280D5C89" w14:textId="5BBBB0CE" w:rsidR="00CE0A2C" w:rsidRDefault="02A98DC7" w:rsidP="02A98DC7">
          <w:pPr>
            <w:pStyle w:val="TOC1"/>
            <w:tabs>
              <w:tab w:val="right" w:leader="dot" w:pos="9015"/>
            </w:tabs>
            <w:rPr>
              <w:rStyle w:val="Hyperlink"/>
              <w:noProof/>
            </w:rPr>
          </w:pPr>
          <w:r>
            <w:fldChar w:fldCharType="begin"/>
          </w:r>
          <w:r w:rsidR="00CE0A2C">
            <w:instrText>TOC \o "1-3" \z \u \h</w:instrText>
          </w:r>
          <w:r>
            <w:fldChar w:fldCharType="separate"/>
          </w:r>
          <w:hyperlink w:anchor="_Toc468692964">
            <w:r w:rsidRPr="02A98DC7">
              <w:rPr>
                <w:rStyle w:val="Hyperlink"/>
              </w:rPr>
              <w:t>1. Introduction</w:t>
            </w:r>
            <w:r w:rsidR="00CE0A2C">
              <w:tab/>
            </w:r>
            <w:r w:rsidR="00CE0A2C">
              <w:fldChar w:fldCharType="begin"/>
            </w:r>
            <w:r w:rsidR="00CE0A2C">
              <w:instrText>PAGEREF _Toc468692964 \h</w:instrText>
            </w:r>
            <w:r w:rsidR="00CE0A2C">
              <w:fldChar w:fldCharType="separate"/>
            </w:r>
            <w:r w:rsidRPr="02A98DC7">
              <w:rPr>
                <w:rStyle w:val="Hyperlink"/>
              </w:rPr>
              <w:t>1</w:t>
            </w:r>
            <w:r w:rsidR="00CE0A2C">
              <w:fldChar w:fldCharType="end"/>
            </w:r>
          </w:hyperlink>
        </w:p>
        <w:p w14:paraId="23A3AE37" w14:textId="16AB4F8C" w:rsidR="00CE0A2C" w:rsidRDefault="02A98DC7" w:rsidP="02A98DC7">
          <w:pPr>
            <w:pStyle w:val="TOC1"/>
            <w:tabs>
              <w:tab w:val="right" w:leader="dot" w:pos="9015"/>
            </w:tabs>
            <w:rPr>
              <w:rStyle w:val="Hyperlink"/>
              <w:noProof/>
            </w:rPr>
          </w:pPr>
          <w:hyperlink w:anchor="_Toc1455630526">
            <w:r w:rsidRPr="02A98DC7">
              <w:rPr>
                <w:rStyle w:val="Hyperlink"/>
              </w:rPr>
              <w:t>2. Project Description</w:t>
            </w:r>
            <w:r w:rsidR="00CE0A2C">
              <w:tab/>
            </w:r>
            <w:r w:rsidR="00CE0A2C">
              <w:fldChar w:fldCharType="begin"/>
            </w:r>
            <w:r w:rsidR="00CE0A2C">
              <w:instrText>PAGEREF _Toc1455630526 \h</w:instrText>
            </w:r>
            <w:r w:rsidR="00CE0A2C">
              <w:fldChar w:fldCharType="separate"/>
            </w:r>
            <w:r w:rsidRPr="02A98DC7">
              <w:rPr>
                <w:rStyle w:val="Hyperlink"/>
              </w:rPr>
              <w:t>1</w:t>
            </w:r>
            <w:r w:rsidR="00CE0A2C">
              <w:fldChar w:fldCharType="end"/>
            </w:r>
          </w:hyperlink>
        </w:p>
        <w:p w14:paraId="595F4188" w14:textId="5B5E9CD8" w:rsidR="00CE0A2C" w:rsidRDefault="02A98DC7" w:rsidP="02A98DC7">
          <w:pPr>
            <w:pStyle w:val="TOC2"/>
            <w:tabs>
              <w:tab w:val="right" w:leader="dot" w:pos="9015"/>
            </w:tabs>
            <w:rPr>
              <w:rStyle w:val="Hyperlink"/>
              <w:noProof/>
            </w:rPr>
          </w:pPr>
          <w:hyperlink w:anchor="_Toc208264932">
            <w:r w:rsidRPr="02A98DC7">
              <w:rPr>
                <w:rStyle w:val="Hyperlink"/>
              </w:rPr>
              <w:t>2.1 Background</w:t>
            </w:r>
            <w:r w:rsidR="00CE0A2C">
              <w:tab/>
            </w:r>
            <w:r w:rsidR="00CE0A2C">
              <w:fldChar w:fldCharType="begin"/>
            </w:r>
            <w:r w:rsidR="00CE0A2C">
              <w:instrText>PAGEREF _Toc208264932 \h</w:instrText>
            </w:r>
            <w:r w:rsidR="00CE0A2C">
              <w:fldChar w:fldCharType="separate"/>
            </w:r>
            <w:r w:rsidRPr="02A98DC7">
              <w:rPr>
                <w:rStyle w:val="Hyperlink"/>
              </w:rPr>
              <w:t>1</w:t>
            </w:r>
            <w:r w:rsidR="00CE0A2C">
              <w:fldChar w:fldCharType="end"/>
            </w:r>
          </w:hyperlink>
        </w:p>
        <w:p w14:paraId="3661D82C" w14:textId="575DB1A7" w:rsidR="00CE0A2C" w:rsidRDefault="02A98DC7" w:rsidP="02A98DC7">
          <w:pPr>
            <w:pStyle w:val="TOC2"/>
            <w:tabs>
              <w:tab w:val="right" w:leader="dot" w:pos="9015"/>
            </w:tabs>
            <w:rPr>
              <w:rStyle w:val="Hyperlink"/>
              <w:noProof/>
            </w:rPr>
          </w:pPr>
          <w:hyperlink w:anchor="_Toc1817074400">
            <w:r w:rsidRPr="02A98DC7">
              <w:rPr>
                <w:rStyle w:val="Hyperlink"/>
              </w:rPr>
              <w:t>2.2 Works and Equipment</w:t>
            </w:r>
            <w:r w:rsidR="00CE0A2C">
              <w:tab/>
            </w:r>
            <w:r w:rsidR="00CE0A2C">
              <w:fldChar w:fldCharType="begin"/>
            </w:r>
            <w:r w:rsidR="00CE0A2C">
              <w:instrText>PAGEREF _Toc1817074400 \h</w:instrText>
            </w:r>
            <w:r w:rsidR="00CE0A2C">
              <w:fldChar w:fldCharType="separate"/>
            </w:r>
            <w:r w:rsidRPr="02A98DC7">
              <w:rPr>
                <w:rStyle w:val="Hyperlink"/>
              </w:rPr>
              <w:t>2</w:t>
            </w:r>
            <w:r w:rsidR="00CE0A2C">
              <w:fldChar w:fldCharType="end"/>
            </w:r>
          </w:hyperlink>
        </w:p>
        <w:p w14:paraId="62AEDAB0" w14:textId="50BEBCCA" w:rsidR="00CE0A2C" w:rsidRDefault="02A98DC7" w:rsidP="02A98DC7">
          <w:pPr>
            <w:pStyle w:val="TOC2"/>
            <w:tabs>
              <w:tab w:val="right" w:leader="dot" w:pos="9015"/>
            </w:tabs>
            <w:rPr>
              <w:rStyle w:val="Hyperlink"/>
              <w:noProof/>
            </w:rPr>
          </w:pPr>
          <w:hyperlink w:anchor="_Toc1847020896">
            <w:r w:rsidRPr="02A98DC7">
              <w:rPr>
                <w:rStyle w:val="Hyperlink"/>
              </w:rPr>
              <w:t>2.3 Receiving Environment</w:t>
            </w:r>
            <w:r w:rsidR="00CE0A2C">
              <w:tab/>
            </w:r>
            <w:r w:rsidR="00CE0A2C">
              <w:fldChar w:fldCharType="begin"/>
            </w:r>
            <w:r w:rsidR="00CE0A2C">
              <w:instrText>PAGEREF _Toc1847020896 \h</w:instrText>
            </w:r>
            <w:r w:rsidR="00CE0A2C">
              <w:fldChar w:fldCharType="separate"/>
            </w:r>
            <w:r w:rsidRPr="02A98DC7">
              <w:rPr>
                <w:rStyle w:val="Hyperlink"/>
              </w:rPr>
              <w:t>2</w:t>
            </w:r>
            <w:r w:rsidR="00CE0A2C">
              <w:fldChar w:fldCharType="end"/>
            </w:r>
          </w:hyperlink>
        </w:p>
        <w:p w14:paraId="69086F72" w14:textId="5644CDAB" w:rsidR="00CE0A2C" w:rsidRDefault="02A98DC7" w:rsidP="02A98DC7">
          <w:pPr>
            <w:pStyle w:val="TOC1"/>
            <w:tabs>
              <w:tab w:val="right" w:leader="dot" w:pos="9015"/>
            </w:tabs>
            <w:rPr>
              <w:rStyle w:val="Hyperlink"/>
              <w:noProof/>
            </w:rPr>
          </w:pPr>
          <w:hyperlink w:anchor="_Toc906006335">
            <w:r w:rsidRPr="02A98DC7">
              <w:rPr>
                <w:rStyle w:val="Hyperlink"/>
              </w:rPr>
              <w:t>3. Article 12 Assessment</w:t>
            </w:r>
            <w:r w:rsidR="00CE0A2C">
              <w:tab/>
            </w:r>
            <w:r w:rsidR="00CE0A2C">
              <w:fldChar w:fldCharType="begin"/>
            </w:r>
            <w:r w:rsidR="00CE0A2C">
              <w:instrText>PAGEREF _Toc906006335 \h</w:instrText>
            </w:r>
            <w:r w:rsidR="00CE0A2C">
              <w:fldChar w:fldCharType="separate"/>
            </w:r>
            <w:r w:rsidRPr="02A98DC7">
              <w:rPr>
                <w:rStyle w:val="Hyperlink"/>
              </w:rPr>
              <w:t>3</w:t>
            </w:r>
            <w:r w:rsidR="00CE0A2C">
              <w:fldChar w:fldCharType="end"/>
            </w:r>
          </w:hyperlink>
        </w:p>
        <w:p w14:paraId="03A85CA2" w14:textId="274D8393" w:rsidR="00CE0A2C" w:rsidRDefault="02A98DC7" w:rsidP="02A98DC7">
          <w:pPr>
            <w:pStyle w:val="TOC2"/>
            <w:tabs>
              <w:tab w:val="right" w:leader="dot" w:pos="9015"/>
            </w:tabs>
            <w:rPr>
              <w:rStyle w:val="Hyperlink"/>
              <w:noProof/>
            </w:rPr>
          </w:pPr>
          <w:hyperlink w:anchor="_Toc4797024">
            <w:r w:rsidRPr="02A98DC7">
              <w:rPr>
                <w:rStyle w:val="Hyperlink"/>
              </w:rPr>
              <w:t>3.1 Annex IV Species</w:t>
            </w:r>
            <w:r w:rsidR="00CE0A2C">
              <w:tab/>
            </w:r>
            <w:r w:rsidR="00CE0A2C">
              <w:fldChar w:fldCharType="begin"/>
            </w:r>
            <w:r w:rsidR="00CE0A2C">
              <w:instrText>PAGEREF _Toc4797024 \h</w:instrText>
            </w:r>
            <w:r w:rsidR="00CE0A2C">
              <w:fldChar w:fldCharType="separate"/>
            </w:r>
            <w:r w:rsidRPr="02A98DC7">
              <w:rPr>
                <w:rStyle w:val="Hyperlink"/>
              </w:rPr>
              <w:t>3</w:t>
            </w:r>
            <w:r w:rsidR="00CE0A2C">
              <w:fldChar w:fldCharType="end"/>
            </w:r>
          </w:hyperlink>
        </w:p>
        <w:p w14:paraId="6CF65BC3" w14:textId="3AB6DD86" w:rsidR="00CE0A2C" w:rsidRDefault="02A98DC7" w:rsidP="02A98DC7">
          <w:pPr>
            <w:pStyle w:val="TOC2"/>
            <w:tabs>
              <w:tab w:val="right" w:leader="dot" w:pos="9015"/>
            </w:tabs>
            <w:rPr>
              <w:rStyle w:val="Hyperlink"/>
              <w:noProof/>
            </w:rPr>
          </w:pPr>
          <w:hyperlink w:anchor="_Toc781173352">
            <w:r w:rsidRPr="02A98DC7">
              <w:rPr>
                <w:rStyle w:val="Hyperlink"/>
              </w:rPr>
              <w:t>3.2 Impacts</w:t>
            </w:r>
            <w:r w:rsidR="00CE0A2C">
              <w:tab/>
            </w:r>
            <w:r w:rsidR="00CE0A2C">
              <w:fldChar w:fldCharType="begin"/>
            </w:r>
            <w:r w:rsidR="00CE0A2C">
              <w:instrText>PAGEREF _Toc781173352 \h</w:instrText>
            </w:r>
            <w:r w:rsidR="00CE0A2C">
              <w:fldChar w:fldCharType="separate"/>
            </w:r>
            <w:r w:rsidRPr="02A98DC7">
              <w:rPr>
                <w:rStyle w:val="Hyperlink"/>
              </w:rPr>
              <w:t>3</w:t>
            </w:r>
            <w:r w:rsidR="00CE0A2C">
              <w:fldChar w:fldCharType="end"/>
            </w:r>
          </w:hyperlink>
        </w:p>
        <w:p w14:paraId="422B286C" w14:textId="0979D9F8" w:rsidR="00CE0A2C" w:rsidRDefault="02A98DC7" w:rsidP="02A98DC7">
          <w:pPr>
            <w:pStyle w:val="TOC1"/>
            <w:tabs>
              <w:tab w:val="right" w:leader="dot" w:pos="9015"/>
            </w:tabs>
            <w:rPr>
              <w:rStyle w:val="Hyperlink"/>
              <w:noProof/>
            </w:rPr>
          </w:pPr>
          <w:hyperlink w:anchor="_Toc2144041757">
            <w:r w:rsidRPr="02A98DC7">
              <w:rPr>
                <w:rStyle w:val="Hyperlink"/>
              </w:rPr>
              <w:t>4. Conclusion</w:t>
            </w:r>
            <w:r w:rsidR="00CE0A2C">
              <w:tab/>
            </w:r>
            <w:r w:rsidR="00CE0A2C">
              <w:fldChar w:fldCharType="begin"/>
            </w:r>
            <w:r w:rsidR="00CE0A2C">
              <w:instrText>PAGEREF _Toc2144041757 \h</w:instrText>
            </w:r>
            <w:r w:rsidR="00CE0A2C">
              <w:fldChar w:fldCharType="separate"/>
            </w:r>
            <w:r w:rsidRPr="02A98DC7">
              <w:rPr>
                <w:rStyle w:val="Hyperlink"/>
              </w:rPr>
              <w:t>3</w:t>
            </w:r>
            <w:r w:rsidR="00CE0A2C">
              <w:fldChar w:fldCharType="end"/>
            </w:r>
          </w:hyperlink>
        </w:p>
        <w:p w14:paraId="296654FB" w14:textId="3D23830C" w:rsidR="02A98DC7" w:rsidRDefault="02A98DC7" w:rsidP="02A98DC7">
          <w:pPr>
            <w:pStyle w:val="TOC1"/>
            <w:tabs>
              <w:tab w:val="right" w:leader="dot" w:pos="9015"/>
            </w:tabs>
            <w:rPr>
              <w:rStyle w:val="Hyperlink"/>
            </w:rPr>
          </w:pPr>
          <w:hyperlink w:anchor="_Toc611555217">
            <w:r w:rsidRPr="02A98DC7">
              <w:rPr>
                <w:rStyle w:val="Hyperlink"/>
              </w:rPr>
              <w:t>5. References</w:t>
            </w:r>
            <w:r>
              <w:tab/>
            </w:r>
            <w:r>
              <w:fldChar w:fldCharType="begin"/>
            </w:r>
            <w:r>
              <w:instrText>PAGEREF _Toc611555217 \h</w:instrText>
            </w:r>
            <w:r>
              <w:fldChar w:fldCharType="separate"/>
            </w:r>
            <w:r w:rsidRPr="02A98DC7">
              <w:rPr>
                <w:rStyle w:val="Hyperlink"/>
              </w:rPr>
              <w:t>4</w:t>
            </w:r>
            <w:r>
              <w:fldChar w:fldCharType="end"/>
            </w:r>
          </w:hyperlink>
          <w:r>
            <w:fldChar w:fldCharType="end"/>
          </w:r>
        </w:p>
      </w:sdtContent>
    </w:sdt>
    <w:p w14:paraId="3C4E776F" w14:textId="1C9E4B11" w:rsidR="00CE0A2C" w:rsidRDefault="00CE0A2C"/>
    <w:p w14:paraId="75EFB364" w14:textId="77777777" w:rsidR="00CE0A2C" w:rsidRDefault="00CE0A2C" w:rsidP="00963A43">
      <w:pPr>
        <w:rPr>
          <w:b/>
          <w:bCs/>
          <w:sz w:val="28"/>
          <w:szCs w:val="24"/>
        </w:rPr>
      </w:pPr>
    </w:p>
    <w:p w14:paraId="37819C00" w14:textId="77777777" w:rsidR="00CE0A2C" w:rsidRDefault="00CE0A2C" w:rsidP="00963A43">
      <w:pPr>
        <w:rPr>
          <w:b/>
          <w:bCs/>
          <w:sz w:val="28"/>
          <w:szCs w:val="24"/>
        </w:rPr>
      </w:pPr>
    </w:p>
    <w:p w14:paraId="7FF4BB29" w14:textId="77777777" w:rsidR="00CE0A2C" w:rsidRDefault="00CE0A2C" w:rsidP="00963A43">
      <w:pPr>
        <w:rPr>
          <w:b/>
          <w:bCs/>
          <w:sz w:val="28"/>
          <w:szCs w:val="24"/>
        </w:rPr>
      </w:pPr>
    </w:p>
    <w:p w14:paraId="7481F744" w14:textId="77777777" w:rsidR="00CE0A2C" w:rsidRDefault="00CE0A2C" w:rsidP="00963A43">
      <w:pPr>
        <w:rPr>
          <w:b/>
          <w:bCs/>
          <w:sz w:val="28"/>
          <w:szCs w:val="24"/>
        </w:rPr>
      </w:pPr>
    </w:p>
    <w:p w14:paraId="194A5EA8" w14:textId="77777777" w:rsidR="00CE0A2C" w:rsidRDefault="00CE0A2C" w:rsidP="00963A43">
      <w:pPr>
        <w:rPr>
          <w:b/>
          <w:bCs/>
          <w:sz w:val="28"/>
          <w:szCs w:val="24"/>
        </w:rPr>
      </w:pPr>
    </w:p>
    <w:p w14:paraId="7C2E97EC" w14:textId="77777777" w:rsidR="00CE0A2C" w:rsidRDefault="00CE0A2C" w:rsidP="00963A43">
      <w:pPr>
        <w:rPr>
          <w:b/>
          <w:bCs/>
          <w:sz w:val="28"/>
          <w:szCs w:val="24"/>
        </w:rPr>
      </w:pPr>
    </w:p>
    <w:p w14:paraId="35DA20CE" w14:textId="77777777" w:rsidR="00CE0A2C" w:rsidRDefault="00CE0A2C" w:rsidP="00963A43">
      <w:pPr>
        <w:rPr>
          <w:b/>
          <w:bCs/>
          <w:sz w:val="28"/>
          <w:szCs w:val="24"/>
        </w:rPr>
      </w:pPr>
    </w:p>
    <w:p w14:paraId="267B7635" w14:textId="77777777" w:rsidR="00CE0A2C" w:rsidRDefault="00CE0A2C" w:rsidP="00963A43">
      <w:pPr>
        <w:rPr>
          <w:b/>
          <w:bCs/>
          <w:sz w:val="28"/>
          <w:szCs w:val="24"/>
        </w:rPr>
      </w:pPr>
    </w:p>
    <w:p w14:paraId="6AD15D4D" w14:textId="77777777" w:rsidR="00CE0A2C" w:rsidRDefault="00CE0A2C" w:rsidP="00963A43">
      <w:pPr>
        <w:rPr>
          <w:b/>
          <w:bCs/>
          <w:sz w:val="28"/>
          <w:szCs w:val="24"/>
        </w:rPr>
      </w:pPr>
    </w:p>
    <w:p w14:paraId="657A113C" w14:textId="77777777" w:rsidR="00CE0A2C" w:rsidRDefault="00CE0A2C" w:rsidP="00963A43">
      <w:pPr>
        <w:rPr>
          <w:b/>
          <w:bCs/>
          <w:sz w:val="28"/>
          <w:szCs w:val="24"/>
        </w:rPr>
      </w:pPr>
    </w:p>
    <w:p w14:paraId="2DC10C17" w14:textId="77777777" w:rsidR="00CE0A2C" w:rsidRDefault="00CE0A2C" w:rsidP="00963A43">
      <w:pPr>
        <w:rPr>
          <w:b/>
          <w:bCs/>
          <w:sz w:val="28"/>
          <w:szCs w:val="24"/>
        </w:rPr>
      </w:pPr>
    </w:p>
    <w:p w14:paraId="12F8A72E" w14:textId="1E581CB6" w:rsidR="02A98DC7" w:rsidRDefault="02A98DC7" w:rsidP="02A98DC7">
      <w:pPr>
        <w:pStyle w:val="Heading1"/>
        <w:rPr>
          <w:rFonts w:ascii="Calibri" w:hAnsi="Calibri" w:cs="Calibri"/>
        </w:rPr>
      </w:pPr>
    </w:p>
    <w:p w14:paraId="15084841" w14:textId="7EB9D769" w:rsidR="00CE0A2C" w:rsidRPr="00CE0A2C" w:rsidRDefault="00CE0A2C" w:rsidP="00CE0A2C">
      <w:pPr>
        <w:pStyle w:val="Heading1"/>
        <w:rPr>
          <w:rFonts w:ascii="Calibri" w:hAnsi="Calibri" w:cs="Calibri"/>
        </w:rPr>
      </w:pPr>
      <w:bookmarkStart w:id="0" w:name="_Toc468692964"/>
      <w:r w:rsidRPr="02A98DC7">
        <w:rPr>
          <w:rFonts w:ascii="Calibri" w:hAnsi="Calibri" w:cs="Calibri"/>
        </w:rPr>
        <w:t>1. Introduction</w:t>
      </w:r>
      <w:bookmarkEnd w:id="0"/>
    </w:p>
    <w:p w14:paraId="62CE3A84" w14:textId="43B179A4" w:rsidR="00CE0A2C" w:rsidRDefault="00CE0A2C" w:rsidP="00963A43">
      <w:r w:rsidRPr="00CE0A2C">
        <w:t>Under Article 12 of the Habitats Directive (92/43/EEC) Member States are required to establish a system of strict protection for species listed in Annex IV of that directive. This protection is afforded to these species at all stages of the life cycle and wherever they occur. This protection includes deliberate disturbance of these species, particularly during the period of breeding, rearing, hibernation, and migration. This has been transposed into Irish Law by Regulation 51 of the European Communities (Birds and Natural Habitats) Regulations 2011.</w:t>
      </w:r>
    </w:p>
    <w:p w14:paraId="6860AB78" w14:textId="1AFC6E91" w:rsidR="00CE0A2C" w:rsidRPr="00CE0A2C" w:rsidRDefault="00CE0A2C" w:rsidP="00CE0A2C">
      <w:pPr>
        <w:pStyle w:val="Heading1"/>
        <w:rPr>
          <w:rFonts w:ascii="Calibri" w:hAnsi="Calibri" w:cs="Calibri"/>
        </w:rPr>
      </w:pPr>
      <w:bookmarkStart w:id="1" w:name="_Toc1455630526"/>
      <w:r w:rsidRPr="02A98DC7">
        <w:rPr>
          <w:rFonts w:ascii="Calibri" w:hAnsi="Calibri" w:cs="Calibri"/>
        </w:rPr>
        <w:t xml:space="preserve">2. </w:t>
      </w:r>
      <w:r w:rsidR="00963A43" w:rsidRPr="02A98DC7">
        <w:rPr>
          <w:rFonts w:ascii="Calibri" w:hAnsi="Calibri" w:cs="Calibri"/>
        </w:rPr>
        <w:t>Project Description</w:t>
      </w:r>
      <w:bookmarkEnd w:id="1"/>
    </w:p>
    <w:p w14:paraId="5288A248" w14:textId="4DFC4B7E" w:rsidR="00963A43" w:rsidRDefault="00CE0A2C" w:rsidP="00CE0A2C">
      <w:pPr>
        <w:pStyle w:val="Heading2"/>
      </w:pPr>
      <w:bookmarkStart w:id="2" w:name="_Toc208264932"/>
      <w:r>
        <w:t xml:space="preserve">2.1 </w:t>
      </w:r>
      <w:r w:rsidR="00963A43">
        <w:t>Background</w:t>
      </w:r>
      <w:bookmarkEnd w:id="2"/>
    </w:p>
    <w:p w14:paraId="5CD9A2C4" w14:textId="0B99AAA4" w:rsidR="00CE0A2C" w:rsidRDefault="00CE0A2C" w:rsidP="36D0D8FB">
      <w:pPr>
        <w:rPr>
          <w:rFonts w:eastAsia="Aptos" w:cs="Arial"/>
          <w:szCs w:val="24"/>
        </w:rPr>
      </w:pPr>
      <w:r>
        <w:t>In line with European Directives, t</w:t>
      </w:r>
      <w:r w:rsidR="00963A43">
        <w:t>he Irish government has planned to expand marine offshore wind turbine capacity to 5 GW by 2030</w:t>
      </w:r>
      <w:r>
        <w:t xml:space="preserve">. </w:t>
      </w:r>
      <w:r w:rsidR="00963A43">
        <w:t>T</w:t>
      </w:r>
      <w:r w:rsidR="7FFCFC01">
        <w:t>o this end, multiple offshore wind farms are at various stages of development</w:t>
      </w:r>
      <w:r w:rsidR="4CD2738C">
        <w:t xml:space="preserve">, meaning there will be a dramatic scaling up of </w:t>
      </w:r>
      <w:r w:rsidR="00BB3FA9">
        <w:t xml:space="preserve">Offshore Renewable Energy </w:t>
      </w:r>
      <w:r w:rsidR="4CD2738C">
        <w:t>ORE</w:t>
      </w:r>
      <w:r w:rsidR="00963A43">
        <w:t xml:space="preserve"> infrastructure including power </w:t>
      </w:r>
      <w:r w:rsidR="2A86867A">
        <w:t>cables which will emit electromagnetic fields EMF</w:t>
      </w:r>
      <w:r w:rsidR="00963A43">
        <w:t xml:space="preserve">. </w:t>
      </w:r>
      <w:r w:rsidR="5DB0297E" w:rsidRPr="36D0D8FB">
        <w:rPr>
          <w:rFonts w:eastAsia="Aptos" w:cs="Arial"/>
          <w:szCs w:val="24"/>
        </w:rPr>
        <w:t xml:space="preserve">Elasmobranchs have an electroreception ability which consists of small pores connected to long fluid-filled tubes that end in a sensory vesicle (ampullae of Lorenzini). The pores are located around the head in all species and along the pectoral fins in batoids (rays and skates). The sensing system has evolved to detect the bioelectric fields generated by prey species and is especially tuned to sinusoidal, or AC, stimuli that have low frequencies (0.1–15 Hz) (Newton et al., 2019). In addition to prey detection, this sense can detect predator species (Kalmijn, 1971) and is now recognised to be a key sense involved in navigation (Paulin, 1995). It is these electroreception abilities that make elasmobranchs of particular concern to the </w:t>
      </w:r>
      <w:r w:rsidR="00C669C4">
        <w:rPr>
          <w:rFonts w:eastAsia="Aptos" w:cs="Arial"/>
          <w:szCs w:val="24"/>
        </w:rPr>
        <w:t>ORE</w:t>
      </w:r>
      <w:r w:rsidR="5DB0297E" w:rsidRPr="36D0D8FB">
        <w:rPr>
          <w:rFonts w:eastAsia="Aptos" w:cs="Arial"/>
          <w:szCs w:val="24"/>
        </w:rPr>
        <w:t xml:space="preserve"> developments. While many studies have established how the electro-sensory system functions in elasmobranchs, there are few studies on how elasmobranchs respond to altered EMFs in the</w:t>
      </w:r>
      <w:r w:rsidR="2DF79D99" w:rsidRPr="36D0D8FB">
        <w:rPr>
          <w:rFonts w:eastAsia="Aptos" w:cs="Arial"/>
          <w:szCs w:val="24"/>
        </w:rPr>
        <w:t>ir natural habitat</w:t>
      </w:r>
      <w:r w:rsidR="5DB0297E" w:rsidRPr="36D0D8FB">
        <w:rPr>
          <w:rFonts w:eastAsia="Aptos" w:cs="Arial"/>
          <w:szCs w:val="24"/>
        </w:rPr>
        <w:t xml:space="preserve"> (Newton et al., 2019).</w:t>
      </w:r>
    </w:p>
    <w:p w14:paraId="7C614E15" w14:textId="6772599A" w:rsidR="00963A43" w:rsidRDefault="40CA1786" w:rsidP="00963A43">
      <w:r>
        <w:t>T</w:t>
      </w:r>
      <w:r w:rsidR="00963A43">
        <w:t>h</w:t>
      </w:r>
      <w:r w:rsidR="5A900F4B">
        <w:t>ose studies were limited</w:t>
      </w:r>
      <w:r w:rsidR="00963A43">
        <w:t xml:space="preserve"> </w:t>
      </w:r>
      <w:r w:rsidR="5856BE20">
        <w:t>in terms of</w:t>
      </w:r>
      <w:r w:rsidR="00963A43">
        <w:t xml:space="preserve"> frequency of detections</w:t>
      </w:r>
      <w:r w:rsidR="4B7FB10E">
        <w:t xml:space="preserve"> and thus resolution of movement data was low. Furthermore,</w:t>
      </w:r>
      <w:r w:rsidR="00963A43">
        <w:t xml:space="preserve"> </w:t>
      </w:r>
      <w:r w:rsidR="1CA3EDB2">
        <w:t>the</w:t>
      </w:r>
      <w:r w:rsidR="00963A43">
        <w:t xml:space="preserve"> enclosure sizes</w:t>
      </w:r>
      <w:r w:rsidR="229B743D">
        <w:t xml:space="preserve"> were small and </w:t>
      </w:r>
      <w:r w:rsidR="3FE39FC5">
        <w:t>a</w:t>
      </w:r>
      <w:r w:rsidR="229B743D">
        <w:t xml:space="preserve"> confounding factor which influenced elasmobranch behaviour</w:t>
      </w:r>
      <w:r w:rsidR="2CDF5B65">
        <w:t>. This study will address these challenges by using a</w:t>
      </w:r>
      <w:r w:rsidR="00963A43">
        <w:t xml:space="preserve"> larger enclosure </w:t>
      </w:r>
      <w:r w:rsidR="0B67D624">
        <w:t xml:space="preserve">to ensure greater freedom of movement </w:t>
      </w:r>
      <w:r w:rsidR="00963A43">
        <w:t>and</w:t>
      </w:r>
      <w:r w:rsidR="004033D9">
        <w:t>, by using</w:t>
      </w:r>
      <w:r w:rsidR="00963A43">
        <w:t xml:space="preserve"> a high residency acoustic receiver system</w:t>
      </w:r>
      <w:r w:rsidR="2427059A">
        <w:t xml:space="preserve"> which can generate a position every ~2 seconds</w:t>
      </w:r>
      <w:r w:rsidR="00963A43">
        <w:t>. The findi</w:t>
      </w:r>
      <w:r w:rsidR="67D030D3">
        <w:t>ngs</w:t>
      </w:r>
      <w:r w:rsidR="00963A43">
        <w:t xml:space="preserve"> from this project can be used to inform the public, the </w:t>
      </w:r>
      <w:r w:rsidR="595FB199">
        <w:t>ORE sector</w:t>
      </w:r>
      <w:r w:rsidR="00963A43">
        <w:t xml:space="preserve">, and government </w:t>
      </w:r>
      <w:r w:rsidR="74841B0C">
        <w:t xml:space="preserve">by </w:t>
      </w:r>
      <w:r w:rsidR="16C6BFD0">
        <w:t xml:space="preserve">supporting the sustainable development of </w:t>
      </w:r>
      <w:r w:rsidR="00557CEE">
        <w:t>clean energy</w:t>
      </w:r>
      <w:r w:rsidR="16C6BFD0">
        <w:t xml:space="preserve"> and </w:t>
      </w:r>
      <w:r w:rsidR="74841B0C">
        <w:t>mitigating the potential impacts of site development and operation</w:t>
      </w:r>
      <w:r w:rsidR="00963A43">
        <w:t>.</w:t>
      </w:r>
    </w:p>
    <w:p w14:paraId="4514AAC6" w14:textId="63589B52" w:rsidR="00CE0A2C" w:rsidRDefault="00CE0A2C" w:rsidP="00CE0A2C">
      <w:pPr>
        <w:pStyle w:val="Heading2"/>
      </w:pPr>
      <w:bookmarkStart w:id="3" w:name="_Toc1817074400"/>
      <w:r>
        <w:lastRenderedPageBreak/>
        <w:t>2.2 Works and Equipment</w:t>
      </w:r>
      <w:bookmarkEnd w:id="3"/>
    </w:p>
    <w:p w14:paraId="35403EDC" w14:textId="77777777" w:rsidR="00A31960" w:rsidRDefault="00A31960" w:rsidP="00A31960">
      <w:pPr>
        <w:spacing w:line="276" w:lineRule="auto"/>
        <w:rPr>
          <w:rFonts w:eastAsia="Times New Roman"/>
        </w:rPr>
      </w:pPr>
      <w:r w:rsidRPr="0178DF83">
        <w:rPr>
          <w:rFonts w:eastAsia="Times New Roman" w:cs="Times New Roman"/>
          <w:szCs w:val="24"/>
        </w:rPr>
        <w:t>The work in the proposed location requires deployment of 2 enclosures, each consisting of three pieces of equipment, the 40mm nylon mesh enclosure, the special mark buoys, and the acoustic receiver moorings.</w:t>
      </w:r>
    </w:p>
    <w:p w14:paraId="7CB840FB" w14:textId="77777777" w:rsidR="00A31960" w:rsidRDefault="00A31960" w:rsidP="00A31960">
      <w:pPr>
        <w:spacing w:line="276" w:lineRule="auto"/>
        <w:rPr>
          <w:rFonts w:eastAsia="Times New Roman"/>
        </w:rPr>
      </w:pPr>
    </w:p>
    <w:p w14:paraId="1D9806BE" w14:textId="77777777" w:rsidR="00C4626F" w:rsidRDefault="00A31960" w:rsidP="00C4626F">
      <w:pPr>
        <w:spacing w:line="276" w:lineRule="auto"/>
        <w:rPr>
          <w:rFonts w:eastAsia="Times New Roman"/>
        </w:rPr>
      </w:pPr>
      <w:r w:rsidRPr="0178DF83">
        <w:rPr>
          <w:rFonts w:eastAsia="Times New Roman" w:cs="Times New Roman"/>
          <w:szCs w:val="24"/>
        </w:rPr>
        <w:t xml:space="preserve">The 40 mm nylon mesh enclosure, measuring 50 m x 15 m x 5 m, is enclosed on all sides with an open top lined with seine floats. Four 200 kg scrap chains will be connected by two sets of 12 mm diameter </w:t>
      </w:r>
      <w:bookmarkStart w:id="4" w:name="_Int_4ZhxFREB"/>
      <w:r w:rsidRPr="0178DF83">
        <w:rPr>
          <w:rFonts w:eastAsia="Times New Roman" w:cs="Times New Roman"/>
          <w:szCs w:val="24"/>
        </w:rPr>
        <w:t>polysteel</w:t>
      </w:r>
      <w:bookmarkEnd w:id="4"/>
      <w:r w:rsidRPr="0178DF83">
        <w:rPr>
          <w:rFonts w:eastAsia="Times New Roman" w:cs="Times New Roman"/>
          <w:szCs w:val="24"/>
        </w:rPr>
        <w:t xml:space="preserve"> rope to moor the enclosure in place. The enclosure will be positioned on top of the cables </w:t>
      </w:r>
      <w:r w:rsidR="00C4626F">
        <w:rPr>
          <w:rFonts w:eastAsia="Times New Roman" w:cs="Times New Roman"/>
          <w:szCs w:val="24"/>
        </w:rPr>
        <w:t>(</w:t>
      </w:r>
      <w:r w:rsidRPr="0178DF83">
        <w:rPr>
          <w:rFonts w:eastAsia="Times New Roman" w:cs="Times New Roman"/>
          <w:szCs w:val="24"/>
        </w:rPr>
        <w:t xml:space="preserve">Figure </w:t>
      </w:r>
      <w:r w:rsidR="00C4626F">
        <w:rPr>
          <w:rFonts w:eastAsia="Times New Roman" w:cs="Times New Roman"/>
          <w:szCs w:val="24"/>
        </w:rPr>
        <w:t>1)</w:t>
      </w:r>
      <w:r w:rsidRPr="0178DF83">
        <w:rPr>
          <w:rFonts w:eastAsia="Times New Roman" w:cs="Times New Roman"/>
          <w:szCs w:val="24"/>
        </w:rPr>
        <w:t>.</w:t>
      </w:r>
      <w:r w:rsidR="00C4626F">
        <w:rPr>
          <w:rFonts w:eastAsia="Times New Roman"/>
        </w:rPr>
        <w:t xml:space="preserve"> </w:t>
      </w:r>
      <w:r w:rsidRPr="0178DF83">
        <w:rPr>
          <w:rFonts w:eastAsia="Times New Roman" w:cs="Times New Roman"/>
          <w:szCs w:val="24"/>
        </w:rPr>
        <w:t xml:space="preserve">The special mark navigational buoys will be deployed close (&lt;5 m) to each corner of the enclosure by splicing together 12 mm polysteel from the mooring lines described above (Figure </w:t>
      </w:r>
      <w:r w:rsidR="00C4626F">
        <w:rPr>
          <w:rFonts w:eastAsia="Times New Roman" w:cs="Times New Roman"/>
          <w:szCs w:val="24"/>
        </w:rPr>
        <w:t>1</w:t>
      </w:r>
      <w:r w:rsidRPr="0178DF83">
        <w:rPr>
          <w:rFonts w:eastAsia="Times New Roman" w:cs="Times New Roman"/>
          <w:szCs w:val="24"/>
        </w:rPr>
        <w:t>).</w:t>
      </w:r>
      <w:r w:rsidR="00C4626F">
        <w:rPr>
          <w:rFonts w:eastAsia="Times New Roman" w:cs="Times New Roman"/>
          <w:szCs w:val="24"/>
        </w:rPr>
        <w:t xml:space="preserve"> </w:t>
      </w:r>
      <w:r w:rsidRPr="0178DF83">
        <w:rPr>
          <w:rFonts w:eastAsia="Times New Roman" w:cs="Times New Roman"/>
          <w:szCs w:val="24"/>
        </w:rPr>
        <w:t>Acoustic receiver moorings will be placed just outside the perimeter of the enclosure. They are composed of an ABS plastic tube embedded in an 80 kg concrete block. Figure 4 shows specific dimensions of the mooring</w:t>
      </w:r>
      <w:r>
        <w:rPr>
          <w:rFonts w:eastAsia="Times New Roman" w:cs="Times New Roman"/>
          <w:szCs w:val="24"/>
        </w:rPr>
        <w:t xml:space="preserve"> (Figure 1)</w:t>
      </w:r>
      <w:r w:rsidRPr="0178DF83">
        <w:rPr>
          <w:rFonts w:eastAsia="Times New Roman" w:cs="Times New Roman"/>
          <w:szCs w:val="24"/>
        </w:rPr>
        <w:t>.</w:t>
      </w:r>
    </w:p>
    <w:p w14:paraId="5FE6F65F" w14:textId="5697EE26" w:rsidR="00963A43" w:rsidRPr="00C4626F" w:rsidRDefault="00CE0A2C" w:rsidP="00C4626F">
      <w:pPr>
        <w:spacing w:line="276" w:lineRule="auto"/>
        <w:rPr>
          <w:rFonts w:eastAsia="Times New Roman"/>
        </w:rPr>
      </w:pPr>
      <w:r>
        <w:t xml:space="preserve"> </w:t>
      </w:r>
    </w:p>
    <w:p w14:paraId="093F5416" w14:textId="79F554DD" w:rsidR="5E8EB38C" w:rsidRDefault="5E8EB38C">
      <w:r>
        <w:rPr>
          <w:noProof/>
        </w:rPr>
        <w:drawing>
          <wp:inline distT="0" distB="0" distL="0" distR="0" wp14:anchorId="4ADB5B77" wp14:editId="19D3E245">
            <wp:extent cx="5724525" cy="3219450"/>
            <wp:effectExtent l="0" t="0" r="0" b="0"/>
            <wp:docPr id="9307483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4835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4525" cy="3219450"/>
                    </a:xfrm>
                    <a:prstGeom prst="rect">
                      <a:avLst/>
                    </a:prstGeom>
                  </pic:spPr>
                </pic:pic>
              </a:graphicData>
            </a:graphic>
          </wp:inline>
        </w:drawing>
      </w:r>
    </w:p>
    <w:p w14:paraId="7F4ABDC2" w14:textId="7ED89600" w:rsidR="5E8EB38C" w:rsidRDefault="5E8EB38C" w:rsidP="02A98DC7">
      <w:pPr>
        <w:rPr>
          <w:rFonts w:eastAsia="Times New Roman" w:cs="Times New Roman"/>
          <w:szCs w:val="24"/>
        </w:rPr>
      </w:pPr>
      <w:r>
        <w:t xml:space="preserve">Figure 1. </w:t>
      </w:r>
      <w:r w:rsidRPr="36D0D8FB">
        <w:rPr>
          <w:rFonts w:eastAsia="Times New Roman" w:cs="Times New Roman"/>
          <w:color w:val="000000" w:themeColor="text1"/>
          <w:szCs w:val="24"/>
        </w:rPr>
        <w:t xml:space="preserve">Overview of the enclosure, mooring system, acoustic </w:t>
      </w:r>
      <w:r w:rsidR="3D9BF2F9" w:rsidRPr="36D0D8FB">
        <w:rPr>
          <w:rFonts w:eastAsia="Times New Roman" w:cs="Times New Roman"/>
          <w:color w:val="000000" w:themeColor="text1"/>
          <w:szCs w:val="24"/>
        </w:rPr>
        <w:t>receiver,</w:t>
      </w:r>
      <w:r w:rsidRPr="36D0D8FB">
        <w:rPr>
          <w:rFonts w:eastAsia="Times New Roman" w:cs="Times New Roman"/>
          <w:color w:val="000000" w:themeColor="text1"/>
          <w:szCs w:val="24"/>
        </w:rPr>
        <w:t xml:space="preserve"> and navigational buoys in relation to buried power transmission cables.</w:t>
      </w:r>
    </w:p>
    <w:p w14:paraId="44E84572" w14:textId="49855436" w:rsidR="00CE0A2C" w:rsidRDefault="00CE0A2C" w:rsidP="00CE0A2C">
      <w:pPr>
        <w:pStyle w:val="Heading2"/>
      </w:pPr>
      <w:bookmarkStart w:id="5" w:name="_Toc1847020896"/>
      <w:r>
        <w:t>2.3 Receiving Environment</w:t>
      </w:r>
      <w:bookmarkEnd w:id="5"/>
    </w:p>
    <w:p w14:paraId="2E05AA59" w14:textId="50B5958A" w:rsidR="00963A43" w:rsidRDefault="00963A43" w:rsidP="0EFEF1A2">
      <w:r>
        <w:t>All equipment will be deployed above and nearby an ESB</w:t>
      </w:r>
      <w:r w:rsidR="2C2C0010">
        <w:t xml:space="preserve"> Networks managed</w:t>
      </w:r>
      <w:r>
        <w:t xml:space="preserve"> buried power transmission cable route in Cork Harbour outside of any channels</w:t>
      </w:r>
      <w:r w:rsidR="028A53A2">
        <w:t xml:space="preserve"> and marine traffic</w:t>
      </w:r>
      <w:r w:rsidR="37480998">
        <w:t>.</w:t>
      </w:r>
      <w:r>
        <w:t xml:space="preserve"> The seabed in the proposed location is flat and mostly composed of coarse soft sediments with depths from 2-</w:t>
      </w:r>
      <w:r w:rsidR="0CEC835E">
        <w:t>5.5</w:t>
      </w:r>
      <w:r>
        <w:t xml:space="preserve"> m depending on tidal cycle. </w:t>
      </w:r>
      <w:r w:rsidR="1A3F84EC">
        <w:t xml:space="preserve">The water column is </w:t>
      </w:r>
      <w:r w:rsidR="43B1B847">
        <w:t>highly</w:t>
      </w:r>
      <w:r w:rsidR="007BD28C">
        <w:t xml:space="preserve"> </w:t>
      </w:r>
      <w:r w:rsidR="1A3F84EC">
        <w:t xml:space="preserve">turbid with </w:t>
      </w:r>
      <w:r w:rsidR="041E6908">
        <w:t>elevated levels</w:t>
      </w:r>
      <w:r w:rsidR="1A3F84EC">
        <w:t xml:space="preserve"> of suspended organic and inorganic matter, </w:t>
      </w:r>
      <w:r w:rsidR="121DB44B">
        <w:t>particularly during high winds.</w:t>
      </w:r>
      <w:r w:rsidR="70E7E52E">
        <w:t xml:space="preserve"> </w:t>
      </w:r>
    </w:p>
    <w:p w14:paraId="007A234E" w14:textId="77777777" w:rsidR="00CE0A2C" w:rsidRDefault="00CE0A2C" w:rsidP="00963A43"/>
    <w:p w14:paraId="1F619655" w14:textId="34E11C3B" w:rsidR="00CE0A2C" w:rsidRPr="00CE0A2C" w:rsidRDefault="00CE0A2C" w:rsidP="00CE0A2C">
      <w:pPr>
        <w:pStyle w:val="Heading1"/>
        <w:rPr>
          <w:rFonts w:ascii="Calibri" w:hAnsi="Calibri" w:cs="Calibri"/>
        </w:rPr>
      </w:pPr>
      <w:bookmarkStart w:id="6" w:name="_Toc906006335"/>
      <w:r w:rsidRPr="02A98DC7">
        <w:rPr>
          <w:rFonts w:ascii="Calibri" w:hAnsi="Calibri" w:cs="Calibri"/>
        </w:rPr>
        <w:t>3. Article 12 Assessment</w:t>
      </w:r>
      <w:bookmarkEnd w:id="6"/>
    </w:p>
    <w:p w14:paraId="451C92EE" w14:textId="7F58DFDD" w:rsidR="00CE0A2C" w:rsidRDefault="00CE0A2C" w:rsidP="00CE0A2C">
      <w:pPr>
        <w:pStyle w:val="Heading2"/>
      </w:pPr>
      <w:bookmarkStart w:id="7" w:name="_Toc4797024"/>
      <w:r>
        <w:t>3.1 Annex IV Species</w:t>
      </w:r>
      <w:bookmarkEnd w:id="7"/>
    </w:p>
    <w:p w14:paraId="6A185162" w14:textId="240D7AEA" w:rsidR="00963A43" w:rsidRDefault="00963A43" w:rsidP="00963A43">
      <w:r>
        <w:t xml:space="preserve">In Ireland, Annex IV marine mammal species </w:t>
      </w:r>
      <w:r w:rsidR="674001A1">
        <w:t xml:space="preserve">include all </w:t>
      </w:r>
      <w:r w:rsidR="2F7C2583">
        <w:t xml:space="preserve">cetaceans, </w:t>
      </w:r>
      <w:r>
        <w:t>European ott</w:t>
      </w:r>
      <w:r w:rsidR="679E61BA">
        <w:t>e</w:t>
      </w:r>
      <w:r>
        <w:t>r (Lutra lutra</w:t>
      </w:r>
      <w:r w:rsidR="0C9D6C01">
        <w:t>),</w:t>
      </w:r>
      <w:r w:rsidR="70E7E52E">
        <w:t xml:space="preserve"> </w:t>
      </w:r>
      <w:r w:rsidR="2F5D0AD2">
        <w:t xml:space="preserve">and marine turtles. </w:t>
      </w:r>
      <w:r>
        <w:t xml:space="preserve">The potential impact on these animals, due to our proposed maritime activity is related to vessel </w:t>
      </w:r>
      <w:r w:rsidR="3E89AA83">
        <w:t>and enclosure operations</w:t>
      </w:r>
      <w:r>
        <w:t xml:space="preserve"> and sound emitted by the HR2 acoustic receivers.</w:t>
      </w:r>
    </w:p>
    <w:p w14:paraId="4FFD704B" w14:textId="662BB3AD" w:rsidR="00CE0A2C" w:rsidRDefault="00CE0A2C" w:rsidP="00CE0A2C">
      <w:pPr>
        <w:pStyle w:val="Heading2"/>
      </w:pPr>
      <w:bookmarkStart w:id="8" w:name="_Toc781173352"/>
      <w:r>
        <w:t>3.2 Impacts</w:t>
      </w:r>
      <w:bookmarkEnd w:id="8"/>
    </w:p>
    <w:p w14:paraId="24D34260" w14:textId="1A12F964" w:rsidR="00CE0A2C" w:rsidRDefault="00CE0A2C" w:rsidP="00963A43">
      <w:r>
        <w:t>The works in the maritime usage area introduces several elements that may impact Annex IV species and European sites including vessel presence, sound production, and entanglement from enclosure netting.</w:t>
      </w:r>
    </w:p>
    <w:p w14:paraId="41F6FA90" w14:textId="594CC4CC" w:rsidR="00963A43" w:rsidRDefault="00963A43" w:rsidP="00963A43">
      <w:r>
        <w:t>Potential impacts from the vessel include visual and acoustic disturbance to the environment, and the risk of collision. Considering the vessel activity levels in</w:t>
      </w:r>
      <w:r w:rsidR="00972420">
        <w:t xml:space="preserve"> Cork Harbour</w:t>
      </w:r>
      <w:r>
        <w:t>,</w:t>
      </w:r>
      <w:r w:rsidR="00972420">
        <w:t xml:space="preserve"> </w:t>
      </w:r>
      <w:r>
        <w:t xml:space="preserve">the temporary addition of </w:t>
      </w:r>
      <w:r w:rsidR="00972420">
        <w:t>two vessels</w:t>
      </w:r>
      <w:r>
        <w:t xml:space="preserve"> for a period of one to two days</w:t>
      </w:r>
      <w:r w:rsidR="3FF34A67">
        <w:t xml:space="preserve"> and one vessel every 2-3 days</w:t>
      </w:r>
      <w:r>
        <w:t xml:space="preserve"> is not </w:t>
      </w:r>
      <w:r w:rsidR="00972420">
        <w:t>significant.</w:t>
      </w:r>
      <w:r>
        <w:t xml:space="preserve"> </w:t>
      </w:r>
      <w:r w:rsidR="4CB6FA3A">
        <w:t xml:space="preserve">All vessel movement around the enclosure will be slow and deliberate, mitigating potential collision risk. </w:t>
      </w:r>
      <w:r>
        <w:t>Consequently, the likelihood of significant impacts on Annex IV species</w:t>
      </w:r>
      <w:r w:rsidR="00972420">
        <w:t xml:space="preserve"> from vessel presence is not considered.</w:t>
      </w:r>
    </w:p>
    <w:p w14:paraId="4868C15F" w14:textId="1445ADA4" w:rsidR="00963A43" w:rsidRDefault="00972420" w:rsidP="00963A43">
      <w:r>
        <w:t xml:space="preserve">During the operational phase, the acoustic receivers will emit 180 kHz acoustic signals every 25-330s at 143 dB. This frequency band is above the hearing range of most fish, invertebrates, diving birds, and marine mammals, except harbour porpoise. The power is also below the intensity required to cause harm to marine mammals based on recommendations outlined in </w:t>
      </w:r>
      <w:sdt>
        <w:sdtPr>
          <w:rPr>
            <w:color w:val="000000" w:themeColor="text1"/>
          </w:rPr>
          <w:tag w:val="MENDELEY_CITATION_v3_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"/>
          <w:id w:val="840051115"/>
          <w:placeholder>
            <w:docPart w:val="DefaultPlaceholder_-1854013440"/>
          </w:placeholder>
        </w:sdtPr>
        <w:sdtContent>
          <w:r w:rsidR="00CE0A2C" w:rsidRPr="43984A2B">
            <w:rPr>
              <w:color w:val="000000" w:themeColor="text1"/>
            </w:rPr>
            <w:t>Southall et al., 2007</w:t>
          </w:r>
        </w:sdtContent>
      </w:sdt>
      <w:r w:rsidRPr="43984A2B">
        <w:rPr>
          <w:color w:val="000000" w:themeColor="text1"/>
        </w:rPr>
        <w:t xml:space="preserve">. For these reasons, the sound produced from acoustic receivers is </w:t>
      </w:r>
      <w:r w:rsidR="4B4E02D3" w:rsidRPr="43984A2B">
        <w:rPr>
          <w:color w:val="000000" w:themeColor="text1"/>
        </w:rPr>
        <w:t>not likely</w:t>
      </w:r>
      <w:r w:rsidRPr="43984A2B">
        <w:rPr>
          <w:color w:val="000000" w:themeColor="text1"/>
        </w:rPr>
        <w:t xml:space="preserve"> to cause harm to Annex IV species.</w:t>
      </w:r>
    </w:p>
    <w:p w14:paraId="24C7AF09" w14:textId="440016A2" w:rsidR="00CE0A2C" w:rsidRDefault="00CE0A2C" w:rsidP="00963A43">
      <w:r>
        <w:t xml:space="preserve">The enclosure is composed of thick 40 mm nylon mesh designed to contain lesser spotted catsharks. </w:t>
      </w:r>
      <w:r w:rsidR="6B44E478">
        <w:t>To</w:t>
      </w:r>
      <w:r w:rsidR="7983F4B9">
        <w:t xml:space="preserve"> become entangled, an annex IV species would have to either randomly encounter the </w:t>
      </w:r>
      <w:r w:rsidR="6AD83387">
        <w:t>enclosure or</w:t>
      </w:r>
      <w:r w:rsidR="7983F4B9">
        <w:t xml:space="preserve"> be attracted towards it. </w:t>
      </w:r>
      <w:r w:rsidR="4CF7B8D5">
        <w:t xml:space="preserve">As the enclosure is small in relation to Cork </w:t>
      </w:r>
      <w:r w:rsidR="496FFCE3">
        <w:t>Harbour</w:t>
      </w:r>
      <w:r w:rsidR="4CF7B8D5">
        <w:t>, the probability of a random encounter</w:t>
      </w:r>
      <w:r w:rsidR="6ECB841D">
        <w:t xml:space="preserve"> is low. </w:t>
      </w:r>
      <w:r w:rsidR="0457B297">
        <w:t>The study species is not normally prey for annex IV species and therefore there is no attractant for predators</w:t>
      </w:r>
      <w:r w:rsidR="0CC1C681">
        <w:t xml:space="preserve">. Assuming an </w:t>
      </w:r>
      <w:r w:rsidR="2AD60A54">
        <w:t>encounter, the</w:t>
      </w:r>
      <w:r>
        <w:t xml:space="preserve"> netting is </w:t>
      </w:r>
      <w:r w:rsidR="5C7E6F7C">
        <w:t>static</w:t>
      </w:r>
      <w:r>
        <w:t xml:space="preserve"> and </w:t>
      </w:r>
      <w:r w:rsidR="04ADF375">
        <w:t>under horizontal tension</w:t>
      </w:r>
      <w:r>
        <w:t>, and the mooring system will restrict enclosure movement</w:t>
      </w:r>
      <w:r w:rsidR="5DAA2230">
        <w:t>, thereby further mitigati</w:t>
      </w:r>
      <w:r w:rsidR="3033E8B6">
        <w:t>ng</w:t>
      </w:r>
      <w:r w:rsidR="5DAA2230">
        <w:t xml:space="preserve"> the ri</w:t>
      </w:r>
      <w:r w:rsidR="03423AEB">
        <w:t>s</w:t>
      </w:r>
      <w:r w:rsidR="5DAA2230">
        <w:t>k of entanglement (Bath et al. 2023)</w:t>
      </w:r>
      <w:r>
        <w:t>.</w:t>
      </w:r>
      <w:r w:rsidR="70E7E52E">
        <w:t xml:space="preserve"> </w:t>
      </w:r>
      <w:r w:rsidR="55CB0BEF">
        <w:t xml:space="preserve"> </w:t>
      </w:r>
      <w:r w:rsidR="3ADE042B">
        <w:t>E</w:t>
      </w:r>
      <w:r w:rsidR="55CB0BEF">
        <w:t>ntanglement risk to Annex IV species</w:t>
      </w:r>
      <w:r w:rsidR="0391AB4A">
        <w:t xml:space="preserve"> is assessed as </w:t>
      </w:r>
      <w:r w:rsidR="16A4F562">
        <w:t>negligible</w:t>
      </w:r>
      <w:r w:rsidR="55CB0BEF">
        <w:t>.</w:t>
      </w:r>
    </w:p>
    <w:p w14:paraId="4C72156F" w14:textId="5998D5DC" w:rsidR="00CE0A2C" w:rsidRPr="00CE0A2C" w:rsidRDefault="00CE0A2C" w:rsidP="00CE0A2C">
      <w:pPr>
        <w:pStyle w:val="Heading1"/>
        <w:rPr>
          <w:rFonts w:ascii="Calibri" w:hAnsi="Calibri" w:cs="Calibri"/>
        </w:rPr>
      </w:pPr>
      <w:bookmarkStart w:id="9" w:name="_Toc2144041757"/>
      <w:r w:rsidRPr="02A98DC7">
        <w:rPr>
          <w:rFonts w:ascii="Calibri" w:hAnsi="Calibri" w:cs="Calibri"/>
        </w:rPr>
        <w:t>4. Conclusion</w:t>
      </w:r>
      <w:bookmarkEnd w:id="9"/>
    </w:p>
    <w:p w14:paraId="4FDC4CEB" w14:textId="6045A442" w:rsidR="00963A43" w:rsidRDefault="00CE0A2C" w:rsidP="00963A43">
      <w:r>
        <w:t xml:space="preserve">Because of the non-invasive nature and small scale of the temporary moorings, it can be concluded that the proposed project </w:t>
      </w:r>
      <w:r w:rsidR="2DD18C2C">
        <w:t xml:space="preserve">poses </w:t>
      </w:r>
      <w:r w:rsidR="507C285C">
        <w:t>negligible</w:t>
      </w:r>
      <w:r w:rsidR="2DD18C2C">
        <w:t xml:space="preserve"> risk to</w:t>
      </w:r>
      <w:r>
        <w:t xml:space="preserve"> Annex IV species </w:t>
      </w:r>
      <w:r w:rsidR="689B34D4">
        <w:t>and will not</w:t>
      </w:r>
      <w:r>
        <w:t xml:space="preserve"> result in the deterioration or destruction of their breeding sites or resting places.</w:t>
      </w:r>
    </w:p>
    <w:p w14:paraId="7882A7B1" w14:textId="364F2582" w:rsidR="00963A43" w:rsidRDefault="44ACF0AB" w:rsidP="02A98DC7">
      <w:pPr>
        <w:pStyle w:val="Heading1"/>
        <w:rPr>
          <w:rFonts w:ascii="Calibri" w:hAnsi="Calibri" w:cs="Calibri"/>
        </w:rPr>
      </w:pPr>
      <w:bookmarkStart w:id="10" w:name="_Toc611555217"/>
      <w:r w:rsidRPr="02A98DC7">
        <w:rPr>
          <w:rFonts w:ascii="Calibri" w:hAnsi="Calibri" w:cs="Calibri"/>
        </w:rPr>
        <w:lastRenderedPageBreak/>
        <w:t>5. References</w:t>
      </w:r>
      <w:bookmarkEnd w:id="10"/>
    </w:p>
    <w:p w14:paraId="2D07810E" w14:textId="107EB6B0" w:rsidR="00963A43" w:rsidRDefault="44ACF0AB" w:rsidP="02A98DC7">
      <w:pPr>
        <w:rPr>
          <w:rFonts w:ascii="Times" w:eastAsia="Times" w:hAnsi="Times" w:cs="Times"/>
          <w:szCs w:val="24"/>
        </w:rPr>
      </w:pPr>
      <w:r w:rsidRPr="02A98DC7">
        <w:rPr>
          <w:rFonts w:ascii="Times" w:eastAsia="Times" w:hAnsi="Times" w:cs="Times"/>
          <w:szCs w:val="24"/>
        </w:rPr>
        <w:t xml:space="preserve">Bath, G.E., Price, C.A., Riley, K.L. and Morris Jr, J.A., 2023. A global review of protected species interactions with marine aquaculture. </w:t>
      </w:r>
      <w:r w:rsidRPr="02A98DC7">
        <w:rPr>
          <w:rFonts w:ascii="Times" w:eastAsia="Times" w:hAnsi="Times" w:cs="Times"/>
          <w:i/>
          <w:iCs/>
          <w:szCs w:val="24"/>
        </w:rPr>
        <w:t>Reviews in Aquaculture</w:t>
      </w:r>
      <w:r w:rsidRPr="02A98DC7">
        <w:rPr>
          <w:rFonts w:ascii="Times" w:eastAsia="Times" w:hAnsi="Times" w:cs="Times"/>
          <w:szCs w:val="24"/>
        </w:rPr>
        <w:t>, 15(4), pp.1686-1719.</w:t>
      </w:r>
    </w:p>
    <w:p w14:paraId="4E83137B" w14:textId="2B6EBE93" w:rsidR="00963A43" w:rsidRPr="008A2EE6" w:rsidRDefault="44ACF0AB" w:rsidP="008A2EE6">
      <w:pPr>
        <w:spacing w:line="240" w:lineRule="auto"/>
        <w:rPr>
          <w:rFonts w:ascii="Times" w:eastAsia="Times" w:hAnsi="Times" w:cs="Times"/>
          <w:color w:val="000000" w:themeColor="text1"/>
          <w:szCs w:val="24"/>
        </w:rPr>
      </w:pPr>
      <w:r w:rsidRPr="02A98DC7">
        <w:rPr>
          <w:rFonts w:ascii="Times" w:eastAsia="Times" w:hAnsi="Times" w:cs="Times"/>
          <w:color w:val="000000" w:themeColor="text1"/>
          <w:szCs w:val="24"/>
          <w:lang w:val="en-US"/>
        </w:rPr>
        <w:t xml:space="preserve">Southall, B., Bowles, A. E., Ellison, W. T., Finneran, J. J., Gentry, R. L., Greene, C. R. J., Kastak, D., Ketten, D. R., Miller, J. H., Nachtigall, P. E., Richardson, W. J., Thomas, J. A., &amp; Tyack, P. L. (2007). </w:t>
      </w:r>
      <w:r w:rsidRPr="02A98DC7">
        <w:rPr>
          <w:rFonts w:ascii="Times" w:eastAsia="Times" w:hAnsi="Times" w:cs="Times"/>
          <w:i/>
          <w:iCs/>
          <w:color w:val="000000" w:themeColor="text1"/>
          <w:szCs w:val="24"/>
          <w:lang w:val="en-US"/>
        </w:rPr>
        <w:t>Marine mammal noise exposure criteria: Initial scientific recommendations</w:t>
      </w:r>
      <w:r w:rsidRPr="02A98DC7">
        <w:rPr>
          <w:rFonts w:ascii="Times" w:eastAsia="Times" w:hAnsi="Times" w:cs="Times"/>
          <w:color w:val="000000" w:themeColor="text1"/>
          <w:szCs w:val="24"/>
          <w:lang w:val="en-US"/>
        </w:rPr>
        <w:t>. 33(4), 411–521.</w:t>
      </w:r>
    </w:p>
    <w:sectPr w:rsidR="00963A43" w:rsidRPr="008A2E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ZS7HzSdz2xpMnN" int2:id="5Zos43BT">
      <int2:state int2:value="Rejected" int2:type="spell"/>
    </int2:textHash>
    <int2:textHash int2:hashCode="c3NhcE+AaOtD9k" int2:id="fdJn7Nn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D57E4"/>
    <w:multiLevelType w:val="hybridMultilevel"/>
    <w:tmpl w:val="AD981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44D1283"/>
    <w:multiLevelType w:val="hybridMultilevel"/>
    <w:tmpl w:val="F4B467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14A2B5D"/>
    <w:multiLevelType w:val="hybridMultilevel"/>
    <w:tmpl w:val="1CDA59CC"/>
    <w:lvl w:ilvl="0" w:tplc="E860699C">
      <w:start w:val="1"/>
      <w:numFmt w:val="decimal"/>
      <w:lvlText w:val="%1."/>
      <w:lvlJc w:val="left"/>
      <w:pPr>
        <w:ind w:left="756" w:hanging="396"/>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67370309">
    <w:abstractNumId w:val="1"/>
  </w:num>
  <w:num w:numId="2" w16cid:durableId="692848031">
    <w:abstractNumId w:val="0"/>
  </w:num>
  <w:num w:numId="3" w16cid:durableId="1055155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D4"/>
    <w:rsid w:val="00091CD4"/>
    <w:rsid w:val="000CC6BC"/>
    <w:rsid w:val="001935F1"/>
    <w:rsid w:val="001B0627"/>
    <w:rsid w:val="001B18BE"/>
    <w:rsid w:val="001B45EC"/>
    <w:rsid w:val="0024480D"/>
    <w:rsid w:val="002C429C"/>
    <w:rsid w:val="0032241D"/>
    <w:rsid w:val="004033D9"/>
    <w:rsid w:val="00557CEE"/>
    <w:rsid w:val="005E1B6F"/>
    <w:rsid w:val="00616FC2"/>
    <w:rsid w:val="007BD28C"/>
    <w:rsid w:val="007E2206"/>
    <w:rsid w:val="007E70E7"/>
    <w:rsid w:val="008431D2"/>
    <w:rsid w:val="008A2EE6"/>
    <w:rsid w:val="00963A43"/>
    <w:rsid w:val="00972420"/>
    <w:rsid w:val="00A116D0"/>
    <w:rsid w:val="00A23908"/>
    <w:rsid w:val="00A31960"/>
    <w:rsid w:val="00B00353"/>
    <w:rsid w:val="00BB3FA9"/>
    <w:rsid w:val="00C4626F"/>
    <w:rsid w:val="00C669C4"/>
    <w:rsid w:val="00C76E46"/>
    <w:rsid w:val="00C80653"/>
    <w:rsid w:val="00CB65E5"/>
    <w:rsid w:val="00CE0A2C"/>
    <w:rsid w:val="00DB1F00"/>
    <w:rsid w:val="00EB4389"/>
    <w:rsid w:val="013C4F22"/>
    <w:rsid w:val="01B04A0C"/>
    <w:rsid w:val="028A53A2"/>
    <w:rsid w:val="02A98DC7"/>
    <w:rsid w:val="02EBD0CC"/>
    <w:rsid w:val="032C5AC9"/>
    <w:rsid w:val="03423AEB"/>
    <w:rsid w:val="0357624C"/>
    <w:rsid w:val="0391AB4A"/>
    <w:rsid w:val="03CEFB92"/>
    <w:rsid w:val="041E6908"/>
    <w:rsid w:val="0457B297"/>
    <w:rsid w:val="0469BBC9"/>
    <w:rsid w:val="04ADF375"/>
    <w:rsid w:val="05135998"/>
    <w:rsid w:val="05C20DBA"/>
    <w:rsid w:val="062ED700"/>
    <w:rsid w:val="07A74FD6"/>
    <w:rsid w:val="07AF5C38"/>
    <w:rsid w:val="0816CFD0"/>
    <w:rsid w:val="083D3AAC"/>
    <w:rsid w:val="08B7E85B"/>
    <w:rsid w:val="0966D89B"/>
    <w:rsid w:val="0993E823"/>
    <w:rsid w:val="09983266"/>
    <w:rsid w:val="0B2ABAE5"/>
    <w:rsid w:val="0B67D624"/>
    <w:rsid w:val="0C9D6C01"/>
    <w:rsid w:val="0CC1C681"/>
    <w:rsid w:val="0CEC835E"/>
    <w:rsid w:val="0EFEF1A2"/>
    <w:rsid w:val="0F072394"/>
    <w:rsid w:val="0F16B48E"/>
    <w:rsid w:val="0FA59226"/>
    <w:rsid w:val="1204A52C"/>
    <w:rsid w:val="121DB44B"/>
    <w:rsid w:val="136E832A"/>
    <w:rsid w:val="137B165A"/>
    <w:rsid w:val="14D4FEF1"/>
    <w:rsid w:val="16023338"/>
    <w:rsid w:val="16A4F562"/>
    <w:rsid w:val="16C6BFD0"/>
    <w:rsid w:val="17006059"/>
    <w:rsid w:val="17BB6494"/>
    <w:rsid w:val="18A25ABA"/>
    <w:rsid w:val="19B67B2C"/>
    <w:rsid w:val="1A3F84EC"/>
    <w:rsid w:val="1AC3E4DE"/>
    <w:rsid w:val="1AE5D541"/>
    <w:rsid w:val="1BA2D7E8"/>
    <w:rsid w:val="1CA3EDB2"/>
    <w:rsid w:val="1D9A308B"/>
    <w:rsid w:val="1DE97E5D"/>
    <w:rsid w:val="219584B5"/>
    <w:rsid w:val="2285539A"/>
    <w:rsid w:val="229B743D"/>
    <w:rsid w:val="240CEB6E"/>
    <w:rsid w:val="2427059A"/>
    <w:rsid w:val="2540EF5C"/>
    <w:rsid w:val="27453E6D"/>
    <w:rsid w:val="277DB185"/>
    <w:rsid w:val="27A7EE5D"/>
    <w:rsid w:val="28F48C04"/>
    <w:rsid w:val="2A32F535"/>
    <w:rsid w:val="2A6F30B0"/>
    <w:rsid w:val="2A86867A"/>
    <w:rsid w:val="2AD60A54"/>
    <w:rsid w:val="2C2C0010"/>
    <w:rsid w:val="2C5E081D"/>
    <w:rsid w:val="2CDF5B65"/>
    <w:rsid w:val="2DD18C2C"/>
    <w:rsid w:val="2DDF7EE3"/>
    <w:rsid w:val="2DF79D99"/>
    <w:rsid w:val="2EBDC17B"/>
    <w:rsid w:val="2F5D0AD2"/>
    <w:rsid w:val="2F7C2583"/>
    <w:rsid w:val="3033E8B6"/>
    <w:rsid w:val="3082D4DE"/>
    <w:rsid w:val="316D4463"/>
    <w:rsid w:val="322C9AAF"/>
    <w:rsid w:val="3560F697"/>
    <w:rsid w:val="369F6E90"/>
    <w:rsid w:val="36D0D8FB"/>
    <w:rsid w:val="36F85FD1"/>
    <w:rsid w:val="37480998"/>
    <w:rsid w:val="37F40062"/>
    <w:rsid w:val="38C7D350"/>
    <w:rsid w:val="397C44D7"/>
    <w:rsid w:val="3ADE042B"/>
    <w:rsid w:val="3B65DD92"/>
    <w:rsid w:val="3C4A6538"/>
    <w:rsid w:val="3CACBFCC"/>
    <w:rsid w:val="3D846ABF"/>
    <w:rsid w:val="3D9BF2F9"/>
    <w:rsid w:val="3E89AA83"/>
    <w:rsid w:val="3FBC0B1B"/>
    <w:rsid w:val="3FE01B4C"/>
    <w:rsid w:val="3FE39FC5"/>
    <w:rsid w:val="3FF34A67"/>
    <w:rsid w:val="40CA1786"/>
    <w:rsid w:val="40D62FFC"/>
    <w:rsid w:val="41810BCE"/>
    <w:rsid w:val="427234FB"/>
    <w:rsid w:val="43984A2B"/>
    <w:rsid w:val="43B1B847"/>
    <w:rsid w:val="4479B833"/>
    <w:rsid w:val="44ACF0AB"/>
    <w:rsid w:val="44B6663C"/>
    <w:rsid w:val="44C648FD"/>
    <w:rsid w:val="456099D8"/>
    <w:rsid w:val="4585CEC8"/>
    <w:rsid w:val="45AE7606"/>
    <w:rsid w:val="46188212"/>
    <w:rsid w:val="4875920D"/>
    <w:rsid w:val="496FFCE3"/>
    <w:rsid w:val="49980F68"/>
    <w:rsid w:val="4A59A0F2"/>
    <w:rsid w:val="4B4E02D3"/>
    <w:rsid w:val="4B7FB10E"/>
    <w:rsid w:val="4C04B41D"/>
    <w:rsid w:val="4CB6FA3A"/>
    <w:rsid w:val="4CD2738C"/>
    <w:rsid w:val="4CF7B8D5"/>
    <w:rsid w:val="4D84A0A3"/>
    <w:rsid w:val="4E40F63A"/>
    <w:rsid w:val="4F32621B"/>
    <w:rsid w:val="507C285C"/>
    <w:rsid w:val="5175FAA1"/>
    <w:rsid w:val="51E26CBC"/>
    <w:rsid w:val="53E0AB8E"/>
    <w:rsid w:val="55802421"/>
    <w:rsid w:val="55838F33"/>
    <w:rsid w:val="55CB0BEF"/>
    <w:rsid w:val="55EC7AB1"/>
    <w:rsid w:val="5626AFC6"/>
    <w:rsid w:val="56B4BA24"/>
    <w:rsid w:val="5856BE20"/>
    <w:rsid w:val="595FB199"/>
    <w:rsid w:val="5A900F4B"/>
    <w:rsid w:val="5A91B685"/>
    <w:rsid w:val="5C7E6F7C"/>
    <w:rsid w:val="5C8F27A1"/>
    <w:rsid w:val="5CAF66EF"/>
    <w:rsid w:val="5DAA2230"/>
    <w:rsid w:val="5DB0297E"/>
    <w:rsid w:val="5E767B96"/>
    <w:rsid w:val="5E8EB38C"/>
    <w:rsid w:val="5EC58D45"/>
    <w:rsid w:val="5F150FF3"/>
    <w:rsid w:val="5FBBD57D"/>
    <w:rsid w:val="61746CE5"/>
    <w:rsid w:val="62B75345"/>
    <w:rsid w:val="62D7E5CC"/>
    <w:rsid w:val="62F2AC0E"/>
    <w:rsid w:val="6411E0D1"/>
    <w:rsid w:val="65727089"/>
    <w:rsid w:val="664853A9"/>
    <w:rsid w:val="665E87DE"/>
    <w:rsid w:val="666E8DD4"/>
    <w:rsid w:val="674001A1"/>
    <w:rsid w:val="6741E4F3"/>
    <w:rsid w:val="679E61BA"/>
    <w:rsid w:val="67D030D3"/>
    <w:rsid w:val="689A24BA"/>
    <w:rsid w:val="689B34D4"/>
    <w:rsid w:val="69DBFF74"/>
    <w:rsid w:val="6AD83387"/>
    <w:rsid w:val="6B44E478"/>
    <w:rsid w:val="6BA8750B"/>
    <w:rsid w:val="6C4C5BEC"/>
    <w:rsid w:val="6E44321B"/>
    <w:rsid w:val="6ECB841D"/>
    <w:rsid w:val="6F50F194"/>
    <w:rsid w:val="6F860762"/>
    <w:rsid w:val="70E7E52E"/>
    <w:rsid w:val="71DA3F9B"/>
    <w:rsid w:val="71E2C04C"/>
    <w:rsid w:val="71ED168E"/>
    <w:rsid w:val="7255FE2B"/>
    <w:rsid w:val="72B1B075"/>
    <w:rsid w:val="72FB2DB3"/>
    <w:rsid w:val="7434EB58"/>
    <w:rsid w:val="74841B0C"/>
    <w:rsid w:val="78196158"/>
    <w:rsid w:val="7983F4B9"/>
    <w:rsid w:val="7A5CB800"/>
    <w:rsid w:val="7ADED457"/>
    <w:rsid w:val="7B5530EF"/>
    <w:rsid w:val="7CF8057D"/>
    <w:rsid w:val="7D73EECB"/>
    <w:rsid w:val="7E83241C"/>
    <w:rsid w:val="7F8C3B0D"/>
    <w:rsid w:val="7FFCFC0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D897"/>
  <w15:chartTrackingRefBased/>
  <w15:docId w15:val="{E049AD08-3EB6-46BE-BE1F-277A36DA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1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C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C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1C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1C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1C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1C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1C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1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CD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C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1C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1C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1C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1C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1C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1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C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C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1CD4"/>
    <w:pPr>
      <w:spacing w:before="160"/>
      <w:jc w:val="center"/>
    </w:pPr>
    <w:rPr>
      <w:i/>
      <w:iCs/>
      <w:color w:val="404040" w:themeColor="text1" w:themeTint="BF"/>
    </w:rPr>
  </w:style>
  <w:style w:type="character" w:customStyle="1" w:styleId="QuoteChar">
    <w:name w:val="Quote Char"/>
    <w:basedOn w:val="DefaultParagraphFont"/>
    <w:link w:val="Quote"/>
    <w:uiPriority w:val="29"/>
    <w:rsid w:val="00091CD4"/>
    <w:rPr>
      <w:i/>
      <w:iCs/>
      <w:color w:val="404040" w:themeColor="text1" w:themeTint="BF"/>
    </w:rPr>
  </w:style>
  <w:style w:type="paragraph" w:styleId="ListParagraph">
    <w:name w:val="List Paragraph"/>
    <w:basedOn w:val="Normal"/>
    <w:uiPriority w:val="34"/>
    <w:qFormat/>
    <w:rsid w:val="00091CD4"/>
    <w:pPr>
      <w:ind w:left="720"/>
      <w:contextualSpacing/>
    </w:pPr>
  </w:style>
  <w:style w:type="character" w:styleId="IntenseEmphasis">
    <w:name w:val="Intense Emphasis"/>
    <w:basedOn w:val="DefaultParagraphFont"/>
    <w:uiPriority w:val="21"/>
    <w:qFormat/>
    <w:rsid w:val="00091CD4"/>
    <w:rPr>
      <w:i/>
      <w:iCs/>
      <w:color w:val="0F4761" w:themeColor="accent1" w:themeShade="BF"/>
    </w:rPr>
  </w:style>
  <w:style w:type="paragraph" w:styleId="IntenseQuote">
    <w:name w:val="Intense Quote"/>
    <w:basedOn w:val="Normal"/>
    <w:next w:val="Normal"/>
    <w:link w:val="IntenseQuoteChar"/>
    <w:uiPriority w:val="30"/>
    <w:qFormat/>
    <w:rsid w:val="00091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CD4"/>
    <w:rPr>
      <w:i/>
      <w:iCs/>
      <w:color w:val="0F4761" w:themeColor="accent1" w:themeShade="BF"/>
    </w:rPr>
  </w:style>
  <w:style w:type="character" w:styleId="IntenseReference">
    <w:name w:val="Intense Reference"/>
    <w:basedOn w:val="DefaultParagraphFont"/>
    <w:uiPriority w:val="32"/>
    <w:qFormat/>
    <w:rsid w:val="00091CD4"/>
    <w:rPr>
      <w:b/>
      <w:bCs/>
      <w:smallCaps/>
      <w:color w:val="0F4761" w:themeColor="accent1" w:themeShade="BF"/>
      <w:spacing w:val="5"/>
    </w:rPr>
  </w:style>
  <w:style w:type="character" w:styleId="PlaceholderText">
    <w:name w:val="Placeholder Text"/>
    <w:basedOn w:val="DefaultParagraphFont"/>
    <w:uiPriority w:val="99"/>
    <w:semiHidden/>
    <w:rsid w:val="00972420"/>
    <w:rPr>
      <w:color w:val="666666"/>
    </w:rPr>
  </w:style>
  <w:style w:type="paragraph" w:styleId="TOCHeading">
    <w:name w:val="TOC Heading"/>
    <w:basedOn w:val="Heading1"/>
    <w:next w:val="Normal"/>
    <w:uiPriority w:val="39"/>
    <w:unhideWhenUsed/>
    <w:qFormat/>
    <w:rsid w:val="00CE0A2C"/>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CE0A2C"/>
    <w:pPr>
      <w:spacing w:after="100"/>
    </w:pPr>
  </w:style>
  <w:style w:type="paragraph" w:styleId="TOC2">
    <w:name w:val="toc 2"/>
    <w:basedOn w:val="Normal"/>
    <w:next w:val="Normal"/>
    <w:autoRedefine/>
    <w:uiPriority w:val="39"/>
    <w:unhideWhenUsed/>
    <w:rsid w:val="00CE0A2C"/>
    <w:pPr>
      <w:spacing w:after="100"/>
      <w:ind w:left="240"/>
    </w:pPr>
  </w:style>
  <w:style w:type="character" w:styleId="Hyperlink">
    <w:name w:val="Hyperlink"/>
    <w:basedOn w:val="DefaultParagraphFont"/>
    <w:uiPriority w:val="99"/>
    <w:unhideWhenUsed/>
    <w:rsid w:val="00CE0A2C"/>
    <w:rPr>
      <w:color w:val="467886" w:themeColor="hyperlink"/>
      <w:u w:val="single"/>
    </w:rPr>
  </w:style>
  <w:style w:type="paragraph" w:customStyle="1" w:styleId="BrdtextA">
    <w:name w:val="Brödtext A"/>
    <w:rsid w:val="007E2206"/>
    <w:pPr>
      <w:pBdr>
        <w:top w:val="nil"/>
        <w:left w:val="nil"/>
        <w:bottom w:val="nil"/>
        <w:right w:val="nil"/>
        <w:between w:val="nil"/>
        <w:bar w:val="nil"/>
      </w:pBdr>
    </w:pPr>
    <w:rPr>
      <w:rFonts w:ascii="Calibri" w:eastAsia="Arial Unicode MS" w:hAnsi="Calibri" w:cs="Arial Unicode MS"/>
      <w:color w:val="000000"/>
      <w:sz w:val="22"/>
      <w:u w:color="000000"/>
      <w:bdr w:val="nil"/>
      <w:lang w:val="en-US" w:eastAsia="en-IE"/>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D935CCB-3189-416B-8196-49172B6708FC}"/>
      </w:docPartPr>
      <w:docPartBody>
        <w:p w:rsidR="001F7870" w:rsidRDefault="00A23908">
          <w:r w:rsidRPr="00D112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08"/>
    <w:rsid w:val="001B45EC"/>
    <w:rsid w:val="001F7870"/>
    <w:rsid w:val="002F49E8"/>
    <w:rsid w:val="007B04D1"/>
    <w:rsid w:val="007E70E7"/>
    <w:rsid w:val="00A23908"/>
    <w:rsid w:val="00C8065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90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4405E6-AD37-4D1E-9D15-D4563E5F14D3}">
  <we:reference id="wa104382081" version="1.55.1.0" store="en-US" storeType="OMEX"/>
  <we:alternateReferences>
    <we:reference id="wa104382081" version="1.55.1.0" store="en-US" storeType="OMEX"/>
  </we:alternateReferences>
  <we:properties>
    <we:property name="MENDELEY_CITATIONS" value="[{&quot;citationID&quot;:&quot;MENDELEY_CITATION_10000d8f-7ac8-4df7-8af6-02ab3160746f&quot;,&quot;properties&quot;:{&quot;noteIndex&quot;:0},&quot;isEdited&quot;:false,&quot;manualOverride&quot;:{&quot;isManuallyOverridden&quot;:true,&quot;citeprocText&quot;:&quot;(Southall et al., 2007)&quot;,&quot;manualOverrideText&quot;:&quot;Southall et al., 2007&quot;},&quot;citationTag&quot;:&quot;MENDELEY_CITATION_v3_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&quot;,&quot;citationItems&quot;:[{&quot;id&quot;:&quot;faf4b3e2-0ecd-38b2-92d8-8e374707672b&quot;,&quot;itemData&quot;:{&quot;type&quot;:&quot;article-journal&quot;,&quot;id&quot;:&quot;faf4b3e2-0ecd-38b2-92d8-8e374707672b&quot;,&quot;title&quot;:&quot;Marine mammal noise exposure criteria: Initial scientific recommendations&quot;,&quot;author&quot;:[{&quot;family&quot;:&quot;Southall&quot;,&quot;given&quot;:&quot;B&quot;,&quot;parse-names&quot;:false,&quot;dropping-particle&quot;:&quot;&quot;,&quot;non-dropping-particle&quot;:&quot;&quot;},{&quot;family&quot;:&quot;Bowles&quot;,&quot;given&quot;:&quot;A.E&quot;,&quot;parse-names&quot;:false,&quot;dropping-particle&quot;:&quot;&quot;,&quot;non-dropping-particle&quot;:&quot;&quot;},{&quot;family&quot;:&quot;Ellison&quot;,&quot;given&quot;:&quot;W.T&quot;,&quot;parse-names&quot;:false,&quot;dropping-particle&quot;:&quot;&quot;,&quot;non-dropping-particle&quot;:&quot;&quot;},{&quot;family&quot;:&quot;Finneran&quot;,&quot;given&quot;:&quot;J.J&quot;,&quot;parse-names&quot;:false,&quot;dropping-particle&quot;:&quot;&quot;,&quot;non-dropping-particle&quot;:&quot;&quot;},{&quot;family&quot;:&quot;Gentry&quot;,&quot;given&quot;:&quot;R.L&quot;,&quot;parse-names&quot;:false,&quot;dropping-particle&quot;:&quot;&quot;,&quot;non-dropping-particle&quot;:&quot;&quot;},{&quot;family&quot;:&quot;Greene&quot;,&quot;given&quot;:&quot;C.R. Jr&quot;,&quot;parse-names&quot;:false,&quot;dropping-particle&quot;:&quot;&quot;,&quot;non-dropping-particle&quot;:&quot;&quot;},{&quot;family&quot;:&quot;Kastak&quot;,&quot;given&quot;:&quot;D&quot;,&quot;parse-names&quot;:false,&quot;dropping-particle&quot;:&quot;&quot;,&quot;non-dropping-particle&quot;:&quot;&quot;},{&quot;family&quot;:&quot;Ketten&quot;,&quot;given&quot;:&quot;D.R&quot;,&quot;parse-names&quot;:false,&quot;dropping-particle&quot;:&quot;&quot;,&quot;non-dropping-particle&quot;:&quot;&quot;},{&quot;family&quot;:&quot;Miller&quot;,&quot;given&quot;:&quot;J.H&quot;,&quot;parse-names&quot;:false,&quot;dropping-particle&quot;:&quot;&quot;,&quot;non-dropping-particle&quot;:&quot;&quot;},{&quot;family&quot;:&quot;Nachtigall&quot;,&quot;given&quot;:&quot;P.E&quot;,&quot;parse-names&quot;:false,&quot;dropping-particle&quot;:&quot;&quot;,&quot;non-dropping-particle&quot;:&quot;&quot;},{&quot;family&quot;:&quot;Richardson&quot;,&quot;given&quot;:&quot;W.J&quot;,&quot;parse-names&quot;:false,&quot;dropping-particle&quot;:&quot;&quot;,&quot;non-dropping-particle&quot;:&quot;&quot;},{&quot;family&quot;:&quot;Thomas&quot;,&quot;given&quot;:&quot;J.A&quot;,&quot;parse-names&quot;:false,&quot;dropping-particle&quot;:&quot;&quot;,&quot;non-dropping-particle&quot;:&quot;&quot;},{&quot;family&quot;:&quot;Tyack&quot;,&quot;given&quot;:&quot;P.L&quot;,&quot;parse-names&quot;:false,&quot;dropping-particle&quot;:&quot;&quot;,&quot;non-dropping-particle&quot;:&quot;&quot;}],&quot;issued&quot;:{&quot;date-parts&quot;:[[2007]]},&quot;page&quot;:&quot;411-521&quot;,&quot;issue&quot;:&quot;4&quot;,&quot;volume&quot;:&quot;3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51177BF3B7A38A4B8641DF8792513BD4" ma:contentTypeVersion="109" ma:contentTypeDescription="" ma:contentTypeScope="" ma:versionID="d2694965f4fe0aeccc7a773690090807">
  <xsd:schema xmlns:xsd="http://www.w3.org/2001/XMLSchema" xmlns:xs="http://www.w3.org/2001/XMLSchema" xmlns:p="http://schemas.microsoft.com/office/2006/metadata/properties" xmlns:ns2="4ed195f3-d33b-43a2-b6ac-a483b0d87092" targetNamespace="http://schemas.microsoft.com/office/2006/metadata/properties" ma:root="true" ma:fieldsID="ab683589c8d83c88ecbaffc5ae22fd36" ns2:_="">
    <xsd:import namespace="4ed195f3-d33b-43a2-b6ac-a483b0d8709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195f3-d33b-43a2-b6ac-a483b0d8709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4d8bf45-6761-43d3-96c2-2a7b84fb3ab7}" ma:internalName="TaxCatchAll" ma:showField="CatchAllData" ma:web="4ed195f3-d33b-43a2-b6ac-a483b0d8709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d8bf45-6761-43d3-96c2-2a7b84fb3ab7}" ma:internalName="TaxCatchAllLabel" ma:readOnly="true" ma:showField="CatchAllDataLabel" ma:web="4ed195f3-d33b-43a2-b6ac-a483b0d8709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6|a0f68f86-a596-4184-aecc-f21e052f41b8" ma:fieldId="{11f8bb48-43d6-459a-8b80-9123185593c7}" ma:sspId="c79799c4-d493-4489-b0a7-468c7723be52" ma:termSetId="cc20ae76-10c8-4895-9727-16fa19bc335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c79799c4-d493-4489-b0a7-468c7723be52" ma:termSetId="9d5a622f-e9ff-4014-aaed-de2ccde78ad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be246a8e-0429-4411-a451-b6a2e0c5008e" ma:fieldId="{6bbd3faf-a5ab-4e5e-b8a6-a5e099cef439}" ma:sspId="c79799c4-d493-4489-b0a7-468c7723be52" ma:termSetId="81c718e5-d2e8-4887-9f8d-ee890054d98b"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d195f3-d33b-43a2-b6ac-a483b0d87092">
      <Value>4</Value>
      <Value>3</Value>
      <Value>1</Value>
      <Value>7</Value>
    </TaxCatchAll>
    <m02c691f3efa402dab5cbaa8c240a9e7 xmlns="4ed195f3-d33b-43a2-b6ac-a483b0d87092">
      <Terms xmlns="http://schemas.microsoft.com/office/infopath/2007/PartnerControls">
        <TermInfo xmlns="http://schemas.microsoft.com/office/infopath/2007/PartnerControls">
          <TermName xmlns="http://schemas.microsoft.com/office/infopath/2007/PartnerControls">Consent</TermName>
          <TermId xmlns="http://schemas.microsoft.com/office/infopath/2007/PartnerControls">b6d14900-26eb-41cf-9a9b-f5f0c0335b20</TermId>
        </TermInfo>
      </Terms>
    </m02c691f3efa402dab5cbaa8c240a9e7>
    <mbbd3fafa5ab4e5eb8a6a5e099cef439 xmlns="4ed195f3-d33b-43a2-b6ac-a483b0d8709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be246a8e-0429-4411-a451-b6a2e0c5008e</TermId>
        </TermInfo>
      </Terms>
    </mbbd3fafa5ab4e5eb8a6a5e099cef439>
    <fbaa881fc4ae443f9fdafbdd527793df xmlns="4ed195f3-d33b-43a2-b6ac-a483b0d87092">
      <Terms xmlns="http://schemas.microsoft.com/office/infopath/2007/PartnerControls"/>
    </fbaa881fc4ae443f9fdafbdd527793df>
    <eDocs_FileStatus xmlns="4ed195f3-d33b-43a2-b6ac-a483b0d87092">Live</eDocs_FileStatus>
    <h1f8bb4843d6459a8b809123185593c7 xmlns="4ed195f3-d33b-43a2-b6ac-a483b0d87092">
      <Terms xmlns="http://schemas.microsoft.com/office/infopath/2007/PartnerControls">
        <TermInfo xmlns="http://schemas.microsoft.com/office/infopath/2007/PartnerControls">
          <TermName xmlns="http://schemas.microsoft.com/office/infopath/2007/PartnerControls">006</TermName>
          <TermId xmlns="http://schemas.microsoft.com/office/infopath/2007/PartnerControls">a0f68f86-a596-4184-aecc-f21e052f41b8</TermId>
        </TermInfo>
      </Terms>
    </h1f8bb4843d6459a8b809123185593c7>
    <_vti_ItemDeclaredRecord xmlns="4ed195f3-d33b-43a2-b6ac-a483b0d87092" xsi:nil="true"/>
    <eDocs_eFileName xmlns="4ed195f3-d33b-43a2-b6ac-a483b0d87092">MARA006-004-2025</eDocs_eFileName>
    <nb1b8a72855341e18dd75ce464e281f2 xmlns="4ed195f3-d33b-43a2-b6ac-a483b0d87092">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88680179-9aaf-4a6b-9821-f12e87102fc1</TermId>
        </TermInfo>
      </Terms>
    </nb1b8a72855341e18dd75ce464e281f2>
  </documentManagement>
</p:properties>
</file>

<file path=customXml/itemProps1.xml><?xml version="1.0" encoding="utf-8"?>
<ds:datastoreItem xmlns:ds="http://schemas.openxmlformats.org/officeDocument/2006/customXml" ds:itemID="{B4D68113-E0ED-4489-B49D-CFA153B6B791}">
  <ds:schemaRefs>
    <ds:schemaRef ds:uri="http://schemas.microsoft.com/sharepoint/v3/contenttype/forms"/>
  </ds:schemaRefs>
</ds:datastoreItem>
</file>

<file path=customXml/itemProps2.xml><?xml version="1.0" encoding="utf-8"?>
<ds:datastoreItem xmlns:ds="http://schemas.openxmlformats.org/officeDocument/2006/customXml" ds:itemID="{049C870E-9C44-458B-9EAA-CFB37844278C}"/>
</file>

<file path=customXml/itemProps3.xml><?xml version="1.0" encoding="utf-8"?>
<ds:datastoreItem xmlns:ds="http://schemas.openxmlformats.org/officeDocument/2006/customXml" ds:itemID="{6C3B7A06-42E5-44DE-B91E-89D6FE7E79FA}">
  <ds:schemaRefs>
    <ds:schemaRef ds:uri="http://schemas.microsoft.com/office/2006/metadata/properties"/>
    <ds:schemaRef ds:uri="http://schemas.microsoft.com/office/infopath/2007/PartnerControls"/>
    <ds:schemaRef ds:uri="4b9b4719-e543-4e7b-9615-121836f9a6a4"/>
    <ds:schemaRef ds:uri="599c0ac4-8aa8-44b8-993a-74ba963a0ea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1238</Words>
  <Characters>7058</Characters>
  <Application>Microsoft Office Word</Application>
  <DocSecurity>0</DocSecurity>
  <Lines>58</Lines>
  <Paragraphs>16</Paragraphs>
  <ScaleCrop>false</ScaleCrop>
  <Company>University College Cork</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Cohuo (Umail)</dc:creator>
  <cp:keywords/>
  <dc:description/>
  <cp:lastModifiedBy>Damien Haberlin</cp:lastModifiedBy>
  <cp:revision>34</cp:revision>
  <dcterms:created xsi:type="dcterms:W3CDTF">2025-08-15T10:54:00Z</dcterms:created>
  <dcterms:modified xsi:type="dcterms:W3CDTF">2026-01-07T12:11:00Z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0x0101000BC94875665D404BB1351B53C41FD2C00051177BF3B7A38A4B8641DF8792513BD4</vt:lpwstr>
  </property>
  <property fmtid="{D5CDD505-2E9C-101B-9397-08002B2CF9AE}" pid="3" name="MediaServiceImageTags">
    <vt:lpwstr/>
  </property>
  <property fmtid="{D5CDD505-2E9C-101B-9397-08002B2CF9AE}" pid="4" name="eDocs_SecurityClassification">
    <vt:lpwstr>4;#Unclassified|be246a8e-0429-4411-a451-b6a2e0c5008e</vt:lpwstr>
  </property>
  <property fmtid="{D5CDD505-2E9C-101B-9397-08002B2CF9AE}" pid="5" name="eDocs_Series">
    <vt:lpwstr>1;#006|a0f68f86-a596-4184-aecc-f21e052f41b8</vt:lpwstr>
  </property>
  <property fmtid="{D5CDD505-2E9C-101B-9397-08002B2CF9AE}" pid="6" name="ge25f6a3ef6f42d4865685f2a74bf8c7">
    <vt:lpwstr/>
  </property>
  <property fmtid="{D5CDD505-2E9C-101B-9397-08002B2CF9AE}" pid="7" name="eDocs_Year">
    <vt:lpwstr>7;#2025|88680179-9aaf-4a6b-9821-f12e87102fc1</vt:lpwstr>
  </property>
  <property fmtid="{D5CDD505-2E9C-101B-9397-08002B2CF9AE}" pid="8" name="eDocs_FileTopics">
    <vt:lpwstr>3;#Consent|b6d14900-26eb-41cf-9a9b-f5f0c0335b20</vt:lpwstr>
  </property>
  <property fmtid="{D5CDD505-2E9C-101B-9397-08002B2CF9AE}" pid="9" name="eDocs_DocumentTopics">
    <vt:lpwstr/>
  </property>
  <property fmtid="{D5CDD505-2E9C-101B-9397-08002B2CF9AE}" pid="10" name="eDocs_RetentionPeriodTerm">
    <vt:lpwstr/>
  </property>
</Properties>
</file>